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087EAF">
      <w:pPr>
        <w:pStyle w:val="17"/>
        <w:spacing w:before="0" w:beforeAutospacing="0" w:after="0" w:afterAutospacing="0" w:line="580" w:lineRule="exact"/>
        <w:jc w:val="center"/>
        <w:outlineLvl w:val="9"/>
        <w:rPr>
          <w:rStyle w:val="22"/>
          <w:rFonts w:hint="eastAsia" w:ascii="微软雅黑" w:hAnsi="微软雅黑" w:eastAsia="微软雅黑" w:cs="微软雅黑"/>
          <w:b w:val="0"/>
          <w:bCs w:val="0"/>
          <w:color w:val="000000"/>
          <w:kern w:val="2"/>
          <w:sz w:val="44"/>
          <w:szCs w:val="44"/>
          <w:shd w:val="clear" w:color="auto" w:fill="FFFFFF"/>
        </w:rPr>
      </w:pPr>
    </w:p>
    <w:p w14:paraId="22771198">
      <w:pPr>
        <w:tabs>
          <w:tab w:val="left" w:pos="958"/>
          <w:tab w:val="left" w:pos="1078"/>
        </w:tabs>
        <w:spacing w:line="560" w:lineRule="exact"/>
        <w:ind w:firstLine="643" w:firstLineChars="200"/>
        <w:jc w:val="center"/>
        <w:outlineLvl w:val="9"/>
        <w:rPr>
          <w:rFonts w:ascii="Times New Roman" w:hAnsi="Times New Roman" w:eastAsia="黑体" w:cs="Times New Roman"/>
          <w:b/>
          <w:kern w:val="0"/>
          <w:sz w:val="32"/>
          <w:szCs w:val="32"/>
        </w:rPr>
      </w:pPr>
    </w:p>
    <w:p w14:paraId="09F4E3FF">
      <w:pPr>
        <w:spacing w:before="468" w:beforeLines="150" w:line="360" w:lineRule="auto"/>
        <w:jc w:val="center"/>
        <w:outlineLvl w:val="9"/>
        <w:rPr>
          <w:rFonts w:ascii="黑体" w:hAnsi="黑体" w:eastAsia="黑体"/>
          <w:sz w:val="52"/>
          <w:szCs w:val="72"/>
        </w:rPr>
      </w:pPr>
      <w:r>
        <w:rPr>
          <w:rFonts w:ascii="华文新魏" w:eastAsia="华文新魏"/>
          <w:b/>
          <w:kern w:val="0"/>
          <w:sz w:val="44"/>
          <w:szCs w:val="44"/>
        </w:rPr>
        <w:drawing>
          <wp:inline distT="0" distB="0" distL="114300" distR="114300">
            <wp:extent cx="4043045" cy="3392170"/>
            <wp:effectExtent l="0" t="0" r="10795" b="6350"/>
            <wp:docPr id="54" name="图片 1" descr="说明: C:\Users\shzz\Desktop\2018最新校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 descr="说明: C:\Users\shzz\Desktop\2018最新校标.png"/>
                    <pic:cNvPicPr>
                      <a:picLocks noChangeAspect="1"/>
                    </pic:cNvPicPr>
                  </pic:nvPicPr>
                  <pic:blipFill>
                    <a:blip r:embed="rId6"/>
                    <a:stretch>
                      <a:fillRect/>
                    </a:stretch>
                  </pic:blipFill>
                  <pic:spPr>
                    <a:xfrm>
                      <a:off x="0" y="0"/>
                      <a:ext cx="4043045" cy="3392170"/>
                    </a:xfrm>
                    <a:prstGeom prst="rect">
                      <a:avLst/>
                    </a:prstGeom>
                    <a:noFill/>
                    <a:ln>
                      <a:noFill/>
                    </a:ln>
                  </pic:spPr>
                </pic:pic>
              </a:graphicData>
            </a:graphic>
          </wp:inline>
        </w:drawing>
      </w:r>
    </w:p>
    <w:p w14:paraId="09B32956">
      <w:pPr>
        <w:spacing w:before="468" w:beforeLines="150" w:line="360" w:lineRule="auto"/>
        <w:jc w:val="center"/>
        <w:outlineLvl w:val="9"/>
        <w:rPr>
          <w:rFonts w:ascii="黑体" w:hAnsi="黑体" w:eastAsia="黑体"/>
          <w:b/>
          <w:sz w:val="52"/>
          <w:szCs w:val="52"/>
        </w:rPr>
      </w:pPr>
    </w:p>
    <w:p w14:paraId="673F4327">
      <w:pPr>
        <w:spacing w:before="468" w:beforeLines="150" w:line="360" w:lineRule="auto"/>
        <w:jc w:val="center"/>
        <w:outlineLvl w:val="9"/>
        <w:rPr>
          <w:rFonts w:ascii="黑体" w:hAnsi="黑体" w:eastAsia="黑体"/>
          <w:b/>
          <w:color w:val="auto"/>
          <w:sz w:val="40"/>
          <w:szCs w:val="40"/>
        </w:rPr>
      </w:pPr>
      <w:r>
        <w:rPr>
          <w:rFonts w:hint="eastAsia" w:ascii="黑体" w:hAnsi="黑体" w:eastAsia="黑体"/>
          <w:b/>
          <w:color w:val="auto"/>
          <w:sz w:val="52"/>
          <w:szCs w:val="52"/>
          <w:lang w:val="en-US" w:eastAsia="zh-CN"/>
        </w:rPr>
        <w:t>立德为先     技创未来</w:t>
      </w:r>
      <w:r>
        <w:rPr>
          <w:rFonts w:hint="eastAsia" w:ascii="黑体" w:hAnsi="黑体" w:eastAsia="黑体"/>
          <w:b/>
          <w:color w:val="auto"/>
          <w:sz w:val="40"/>
          <w:szCs w:val="40"/>
        </w:rPr>
        <w:t xml:space="preserve"> </w:t>
      </w:r>
    </w:p>
    <w:p w14:paraId="47EBBA19">
      <w:pPr>
        <w:spacing w:before="468" w:beforeLines="150" w:line="360" w:lineRule="auto"/>
        <w:ind w:firstLine="360" w:firstLineChars="100"/>
        <w:outlineLvl w:val="9"/>
        <w:rPr>
          <w:rFonts w:hint="eastAsia" w:ascii="楷体" w:hAnsi="楷体" w:eastAsia="楷体"/>
          <w:sz w:val="36"/>
          <w:szCs w:val="36"/>
          <w:lang w:eastAsia="zh-CN"/>
        </w:rPr>
        <w:sectPr>
          <w:headerReference r:id="rId3" w:type="default"/>
          <w:footerReference r:id="rId4" w:type="default"/>
          <w:pgSz w:w="11906" w:h="16838"/>
          <w:pgMar w:top="1100" w:right="1800" w:bottom="1157" w:left="1800" w:header="851" w:footer="992" w:gutter="0"/>
          <w:cols w:space="425" w:num="1"/>
          <w:docGrid w:type="lines" w:linePitch="312" w:charSpace="0"/>
        </w:sectPr>
      </w:pPr>
      <w:r>
        <w:rPr>
          <w:rFonts w:hint="eastAsia" w:ascii="楷体" w:hAnsi="楷体" w:eastAsia="楷体"/>
          <w:sz w:val="36"/>
          <w:szCs w:val="36"/>
        </w:rPr>
        <w:t>——福建省上杭职业中专学校202</w:t>
      </w:r>
      <w:r>
        <w:rPr>
          <w:rFonts w:hint="eastAsia" w:ascii="楷体" w:hAnsi="楷体" w:eastAsia="楷体"/>
          <w:sz w:val="36"/>
          <w:szCs w:val="36"/>
          <w:lang w:val="en-US" w:eastAsia="zh-CN"/>
        </w:rPr>
        <w:t>5</w:t>
      </w:r>
      <w:r>
        <w:rPr>
          <w:rFonts w:hint="eastAsia" w:ascii="楷体" w:hAnsi="楷体" w:eastAsia="楷体"/>
          <w:sz w:val="36"/>
          <w:szCs w:val="36"/>
        </w:rPr>
        <w:t>年度质量报告</w:t>
      </w:r>
      <w:r>
        <w:rPr>
          <w:rFonts w:hint="eastAsia" w:ascii="楷体" w:hAnsi="楷体" w:eastAsia="楷体"/>
          <w:sz w:val="36"/>
          <w:szCs w:val="36"/>
          <w:lang w:eastAsia="zh-CN"/>
        </w:rPr>
        <w:drawing>
          <wp:inline distT="0" distB="0" distL="114300" distR="114300">
            <wp:extent cx="5264785" cy="7127240"/>
            <wp:effectExtent l="0" t="0" r="12065" b="16510"/>
            <wp:docPr id="67" name="图片 67" descr="8dd8e5165b69b8f1232e951285b66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8dd8e5165b69b8f1232e951285b66327"/>
                    <pic:cNvPicPr>
                      <a:picLocks noChangeAspect="1"/>
                    </pic:cNvPicPr>
                  </pic:nvPicPr>
                  <pic:blipFill>
                    <a:blip r:embed="rId7"/>
                    <a:stretch>
                      <a:fillRect/>
                    </a:stretch>
                  </pic:blipFill>
                  <pic:spPr>
                    <a:xfrm>
                      <a:off x="0" y="0"/>
                      <a:ext cx="5264785" cy="7127240"/>
                    </a:xfrm>
                    <a:prstGeom prst="rect">
                      <a:avLst/>
                    </a:prstGeom>
                  </pic:spPr>
                </pic:pic>
              </a:graphicData>
            </a:graphic>
          </wp:inline>
        </w:drawing>
      </w:r>
    </w:p>
    <w:p w14:paraId="0A190C03">
      <w:pPr>
        <w:spacing w:before="468" w:beforeLines="150" w:line="360" w:lineRule="auto"/>
        <w:ind w:firstLine="361" w:firstLineChars="100"/>
        <w:jc w:val="center"/>
        <w:outlineLvl w:val="9"/>
        <w:rPr>
          <w:rFonts w:hint="eastAsia" w:ascii="黑体" w:hAnsi="黑体" w:eastAsia="黑体" w:cs="黑体"/>
          <w:b/>
          <w:bCs/>
          <w:sz w:val="36"/>
          <w:szCs w:val="36"/>
          <w:lang w:val="en-US" w:eastAsia="zh-CN"/>
        </w:rPr>
      </w:pPr>
      <w:r>
        <w:rPr>
          <w:rFonts w:hint="eastAsia" w:ascii="黑体" w:hAnsi="黑体" w:eastAsia="黑体" w:cs="黑体"/>
          <w:b/>
          <w:bCs/>
          <w:sz w:val="36"/>
          <w:szCs w:val="36"/>
          <w:lang w:val="en-US" w:eastAsia="zh-CN"/>
        </w:rPr>
        <w:t>目  录</w:t>
      </w:r>
    </w:p>
    <w:p w14:paraId="39369F55">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Style w:val="22"/>
          <w:rFonts w:hint="eastAsia" w:ascii="微软雅黑" w:hAnsi="微软雅黑" w:eastAsia="微软雅黑" w:cs="微软雅黑"/>
          <w:b/>
          <w:bCs/>
          <w:color w:val="000000"/>
          <w:kern w:val="2"/>
          <w:sz w:val="24"/>
          <w:szCs w:val="24"/>
          <w:shd w:val="clear" w:color="auto" w:fill="FFFFFF"/>
        </w:rPr>
        <w:fldChar w:fldCharType="begin"/>
      </w:r>
      <w:r>
        <w:rPr>
          <w:rStyle w:val="22"/>
          <w:rFonts w:hint="eastAsia" w:ascii="微软雅黑" w:hAnsi="微软雅黑" w:eastAsia="微软雅黑" w:cs="微软雅黑"/>
          <w:b/>
          <w:bCs/>
          <w:color w:val="000000"/>
          <w:kern w:val="2"/>
          <w:sz w:val="24"/>
          <w:szCs w:val="24"/>
          <w:shd w:val="clear" w:color="auto" w:fill="FFFFFF"/>
        </w:rPr>
        <w:instrText xml:space="preserve">TOC \o "1-3" \h \u </w:instrText>
      </w:r>
      <w:r>
        <w:rPr>
          <w:rStyle w:val="22"/>
          <w:rFonts w:hint="eastAsia" w:ascii="微软雅黑" w:hAnsi="微软雅黑" w:eastAsia="微软雅黑" w:cs="微软雅黑"/>
          <w:b/>
          <w:bCs/>
          <w:color w:val="000000"/>
          <w:kern w:val="2"/>
          <w:sz w:val="24"/>
          <w:szCs w:val="24"/>
          <w:shd w:val="clear" w:color="auto" w:fill="FFFFFF"/>
        </w:rPr>
        <w:fldChar w:fldCharType="separate"/>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_Toc17679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前</w:t>
      </w:r>
      <w:r>
        <w:rPr>
          <w:rFonts w:hint="eastAsia" w:ascii="黑体" w:hAnsi="黑体" w:eastAsia="黑体" w:cs="黑体"/>
          <w:bCs/>
          <w:color w:val="000000"/>
          <w:kern w:val="2"/>
          <w:sz w:val="28"/>
          <w:szCs w:val="28"/>
          <w:shd w:val="clear" w:color="auto" w:fill="FFFFFF"/>
          <w:lang w:val="en-US" w:eastAsia="zh-CN"/>
        </w:rPr>
        <w:t xml:space="preserve"> </w:t>
      </w:r>
      <w:r>
        <w:rPr>
          <w:rFonts w:hint="eastAsia" w:ascii="黑体" w:hAnsi="黑体" w:eastAsia="黑体" w:cs="黑体"/>
          <w:bCs/>
          <w:color w:val="000000"/>
          <w:kern w:val="2"/>
          <w:sz w:val="28"/>
          <w:szCs w:val="28"/>
          <w:shd w:val="clear" w:color="auto" w:fill="FFFFFF"/>
        </w:rPr>
        <w:t>言</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_Toc17679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5</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4763A455">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_Toc14063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表目录</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_Toc14063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7</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1BBC6CFD">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_Toc31122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图目录</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_Toc31122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7</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19B7C4E1">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_Toc19538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案例目录</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_Toc19538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8</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26F42B08">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_Toc6598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年报公开网址</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_Toc6598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8</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6E8DAA47">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_Toc24384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1</w:t>
      </w:r>
      <w:r>
        <w:rPr>
          <w:rFonts w:hint="eastAsia" w:ascii="黑体" w:hAnsi="黑体" w:eastAsia="黑体" w:cs="黑体"/>
          <w:bCs/>
          <w:color w:val="000000"/>
          <w:kern w:val="2"/>
          <w:sz w:val="28"/>
          <w:szCs w:val="28"/>
          <w:shd w:val="clear" w:color="auto" w:fill="FFFFFF"/>
        </w:rPr>
        <w:t xml:space="preserve"> 人才培养</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_Toc24384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9</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3168E079">
      <w:pPr>
        <w:pStyle w:val="16"/>
        <w:tabs>
          <w:tab w:val="right" w:leader="dot" w:pos="8306"/>
        </w:tabs>
        <w:rPr>
          <w:rFonts w:hint="eastAsia" w:ascii="仿宋" w:hAnsi="仿宋" w:eastAsia="仿宋" w:cs="仿宋"/>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_Toc18559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32"/>
          <w:lang w:val="en-US" w:eastAsia="zh-CN"/>
        </w:rPr>
        <w:t>1</w:t>
      </w:r>
      <w:r>
        <w:rPr>
          <w:rFonts w:hint="eastAsia" w:ascii="黑体" w:hAnsi="黑体" w:eastAsia="黑体" w:cs="黑体"/>
          <w:bCs/>
          <w:sz w:val="24"/>
          <w:szCs w:val="32"/>
        </w:rPr>
        <w:t>.1立德树人</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_Toc18559 \h </w:instrText>
      </w:r>
      <w:r>
        <w:rPr>
          <w:rFonts w:hint="eastAsia" w:ascii="黑体" w:hAnsi="黑体" w:eastAsia="黑体" w:cs="黑体"/>
          <w:sz w:val="24"/>
          <w:szCs w:val="32"/>
        </w:rPr>
        <w:fldChar w:fldCharType="separate"/>
      </w:r>
      <w:r>
        <w:rPr>
          <w:rFonts w:hint="eastAsia" w:ascii="黑体" w:hAnsi="黑体" w:eastAsia="黑体" w:cs="黑体"/>
          <w:sz w:val="24"/>
          <w:szCs w:val="32"/>
        </w:rPr>
        <w:t>9</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6BE4DA75">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_Toc22065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1.1.1 思政贯通</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_Toc22065 \h </w:instrText>
      </w:r>
      <w:r>
        <w:rPr>
          <w:rFonts w:hint="eastAsia" w:ascii="仿宋" w:hAnsi="仿宋" w:eastAsia="仿宋" w:cs="仿宋"/>
          <w:sz w:val="24"/>
          <w:szCs w:val="32"/>
        </w:rPr>
        <w:fldChar w:fldCharType="separate"/>
      </w:r>
      <w:r>
        <w:rPr>
          <w:rFonts w:hint="eastAsia" w:ascii="仿宋" w:hAnsi="仿宋" w:eastAsia="仿宋" w:cs="仿宋"/>
          <w:sz w:val="24"/>
          <w:szCs w:val="32"/>
        </w:rPr>
        <w:t>9</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3C411757">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_Toc11643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1.1.2 三全育人</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_Toc11643 \h </w:instrText>
      </w:r>
      <w:r>
        <w:rPr>
          <w:rFonts w:hint="eastAsia" w:ascii="仿宋" w:hAnsi="仿宋" w:eastAsia="仿宋" w:cs="仿宋"/>
          <w:sz w:val="24"/>
          <w:szCs w:val="32"/>
        </w:rPr>
        <w:fldChar w:fldCharType="separate"/>
      </w:r>
      <w:r>
        <w:rPr>
          <w:rFonts w:hint="eastAsia" w:ascii="仿宋" w:hAnsi="仿宋" w:eastAsia="仿宋" w:cs="仿宋"/>
          <w:sz w:val="24"/>
          <w:szCs w:val="32"/>
        </w:rPr>
        <w:t>17</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05E81FDD">
      <w:pPr>
        <w:pStyle w:val="16"/>
        <w:tabs>
          <w:tab w:val="right" w:leader="dot" w:pos="8306"/>
        </w:tabs>
        <w:rPr>
          <w:rFonts w:hint="eastAsia" w:ascii="黑体" w:hAnsi="黑体" w:eastAsia="黑体" w:cs="黑体"/>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_Toc13414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32"/>
          <w:lang w:val="en-US" w:eastAsia="zh-CN"/>
        </w:rPr>
        <w:t>1.2多元培养</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_Toc13414 \h </w:instrText>
      </w:r>
      <w:r>
        <w:rPr>
          <w:rFonts w:hint="eastAsia" w:ascii="黑体" w:hAnsi="黑体" w:eastAsia="黑体" w:cs="黑体"/>
          <w:sz w:val="24"/>
          <w:szCs w:val="32"/>
        </w:rPr>
        <w:fldChar w:fldCharType="separate"/>
      </w:r>
      <w:r>
        <w:rPr>
          <w:rFonts w:hint="eastAsia" w:ascii="黑体" w:hAnsi="黑体" w:eastAsia="黑体" w:cs="黑体"/>
          <w:sz w:val="24"/>
          <w:szCs w:val="32"/>
        </w:rPr>
        <w:t>19</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63CCC272">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_Toc4900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1.</w:t>
      </w:r>
      <w:r>
        <w:rPr>
          <w:rFonts w:hint="eastAsia" w:ascii="仿宋" w:hAnsi="仿宋" w:eastAsia="仿宋" w:cs="仿宋"/>
          <w:bCs/>
          <w:sz w:val="24"/>
          <w:szCs w:val="32"/>
        </w:rPr>
        <w:t>2.</w:t>
      </w:r>
      <w:r>
        <w:rPr>
          <w:rFonts w:hint="eastAsia" w:ascii="仿宋" w:hAnsi="仿宋" w:eastAsia="仿宋" w:cs="仿宋"/>
          <w:bCs/>
          <w:sz w:val="24"/>
          <w:szCs w:val="32"/>
          <w:lang w:val="en-US" w:eastAsia="zh-CN"/>
        </w:rPr>
        <w:t>1</w:t>
      </w:r>
      <w:r>
        <w:rPr>
          <w:rFonts w:hint="eastAsia" w:ascii="仿宋" w:hAnsi="仿宋" w:eastAsia="仿宋" w:cs="仿宋"/>
          <w:bCs/>
          <w:sz w:val="24"/>
          <w:szCs w:val="32"/>
          <w:lang w:eastAsia="zh-CN"/>
        </w:rPr>
        <w:t>培养方式</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_Toc4900 \h </w:instrText>
      </w:r>
      <w:r>
        <w:rPr>
          <w:rFonts w:hint="eastAsia" w:ascii="仿宋" w:hAnsi="仿宋" w:eastAsia="仿宋" w:cs="仿宋"/>
          <w:sz w:val="24"/>
          <w:szCs w:val="32"/>
        </w:rPr>
        <w:fldChar w:fldCharType="separate"/>
      </w:r>
      <w:r>
        <w:rPr>
          <w:rFonts w:hint="eastAsia" w:ascii="仿宋" w:hAnsi="仿宋" w:eastAsia="仿宋" w:cs="仿宋"/>
          <w:sz w:val="24"/>
          <w:szCs w:val="32"/>
        </w:rPr>
        <w:t>19</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13A648D1">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_Toc10806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1.</w:t>
      </w:r>
      <w:r>
        <w:rPr>
          <w:rFonts w:hint="eastAsia" w:ascii="仿宋" w:hAnsi="仿宋" w:eastAsia="仿宋" w:cs="仿宋"/>
          <w:bCs/>
          <w:sz w:val="24"/>
          <w:szCs w:val="32"/>
        </w:rPr>
        <w:t>2.</w:t>
      </w:r>
      <w:r>
        <w:rPr>
          <w:rFonts w:hint="eastAsia" w:ascii="仿宋" w:hAnsi="仿宋" w:eastAsia="仿宋" w:cs="仿宋"/>
          <w:bCs/>
          <w:sz w:val="24"/>
          <w:szCs w:val="32"/>
          <w:lang w:val="en-US" w:eastAsia="zh-CN"/>
        </w:rPr>
        <w:t>2</w:t>
      </w:r>
      <w:r>
        <w:rPr>
          <w:rFonts w:hint="eastAsia" w:ascii="仿宋" w:hAnsi="仿宋" w:eastAsia="仿宋" w:cs="仿宋"/>
          <w:bCs/>
          <w:sz w:val="24"/>
          <w:szCs w:val="32"/>
        </w:rPr>
        <w:t>实习实训</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_Toc10806 \h </w:instrText>
      </w:r>
      <w:r>
        <w:rPr>
          <w:rFonts w:hint="eastAsia" w:ascii="仿宋" w:hAnsi="仿宋" w:eastAsia="仿宋" w:cs="仿宋"/>
          <w:sz w:val="24"/>
          <w:szCs w:val="32"/>
        </w:rPr>
        <w:fldChar w:fldCharType="separate"/>
      </w:r>
      <w:r>
        <w:rPr>
          <w:rFonts w:hint="eastAsia" w:ascii="仿宋" w:hAnsi="仿宋" w:eastAsia="仿宋" w:cs="仿宋"/>
          <w:sz w:val="24"/>
          <w:szCs w:val="32"/>
        </w:rPr>
        <w:t>27</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370F1C6F">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_Toc15746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caps w:val="0"/>
          <w:kern w:val="2"/>
          <w:sz w:val="24"/>
          <w:szCs w:val="36"/>
          <w:lang w:val="en-US" w:eastAsia="zh-CN" w:bidi="ar-SA"/>
        </w:rPr>
        <w:t>1.2.3 专业建设</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_Toc15746 \h </w:instrText>
      </w:r>
      <w:r>
        <w:rPr>
          <w:rFonts w:hint="eastAsia" w:ascii="仿宋" w:hAnsi="仿宋" w:eastAsia="仿宋" w:cs="仿宋"/>
          <w:sz w:val="24"/>
          <w:szCs w:val="32"/>
        </w:rPr>
        <w:fldChar w:fldCharType="separate"/>
      </w:r>
      <w:r>
        <w:rPr>
          <w:rFonts w:hint="eastAsia" w:ascii="仿宋" w:hAnsi="仿宋" w:eastAsia="仿宋" w:cs="仿宋"/>
          <w:sz w:val="24"/>
          <w:szCs w:val="32"/>
        </w:rPr>
        <w:t>28</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5FA65915">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_Toc30870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 xml:space="preserve">1.2.4 </w:t>
      </w:r>
      <w:r>
        <w:rPr>
          <w:rFonts w:hint="eastAsia" w:ascii="仿宋" w:hAnsi="仿宋" w:eastAsia="仿宋" w:cs="仿宋"/>
          <w:bCs/>
          <w:sz w:val="24"/>
          <w:szCs w:val="32"/>
        </w:rPr>
        <w:t>课程建设</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_Toc30870 \h </w:instrText>
      </w:r>
      <w:r>
        <w:rPr>
          <w:rFonts w:hint="eastAsia" w:ascii="仿宋" w:hAnsi="仿宋" w:eastAsia="仿宋" w:cs="仿宋"/>
          <w:sz w:val="24"/>
          <w:szCs w:val="32"/>
        </w:rPr>
        <w:fldChar w:fldCharType="separate"/>
      </w:r>
      <w:r>
        <w:rPr>
          <w:rFonts w:hint="eastAsia" w:ascii="仿宋" w:hAnsi="仿宋" w:eastAsia="仿宋" w:cs="仿宋"/>
          <w:sz w:val="24"/>
          <w:szCs w:val="32"/>
        </w:rPr>
        <w:t>29</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72D9F50F">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_Toc14502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 xml:space="preserve">1.2.5 </w:t>
      </w:r>
      <w:r>
        <w:rPr>
          <w:rFonts w:hint="eastAsia" w:ascii="仿宋" w:hAnsi="仿宋" w:eastAsia="仿宋" w:cs="仿宋"/>
          <w:bCs/>
          <w:sz w:val="24"/>
          <w:szCs w:val="32"/>
        </w:rPr>
        <w:t>教材建设</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_Toc14502 \h </w:instrText>
      </w:r>
      <w:r>
        <w:rPr>
          <w:rFonts w:hint="eastAsia" w:ascii="仿宋" w:hAnsi="仿宋" w:eastAsia="仿宋" w:cs="仿宋"/>
          <w:sz w:val="24"/>
          <w:szCs w:val="32"/>
        </w:rPr>
        <w:fldChar w:fldCharType="separate"/>
      </w:r>
      <w:r>
        <w:rPr>
          <w:rFonts w:hint="eastAsia" w:ascii="仿宋" w:hAnsi="仿宋" w:eastAsia="仿宋" w:cs="仿宋"/>
          <w:sz w:val="24"/>
          <w:szCs w:val="32"/>
        </w:rPr>
        <w:t>30</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56136E7E">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_Toc29694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1.2.6 赛事赋能</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_Toc29694 \h </w:instrText>
      </w:r>
      <w:r>
        <w:rPr>
          <w:rFonts w:hint="eastAsia" w:ascii="仿宋" w:hAnsi="仿宋" w:eastAsia="仿宋" w:cs="仿宋"/>
          <w:sz w:val="24"/>
          <w:szCs w:val="32"/>
        </w:rPr>
        <w:fldChar w:fldCharType="separate"/>
      </w:r>
      <w:r>
        <w:rPr>
          <w:rFonts w:hint="eastAsia" w:ascii="仿宋" w:hAnsi="仿宋" w:eastAsia="仿宋" w:cs="仿宋"/>
          <w:sz w:val="24"/>
          <w:szCs w:val="32"/>
        </w:rPr>
        <w:t>31</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45EE9374">
      <w:pPr>
        <w:pStyle w:val="16"/>
        <w:tabs>
          <w:tab w:val="right" w:leader="dot" w:pos="8306"/>
        </w:tabs>
        <w:rPr>
          <w:rFonts w:hint="eastAsia" w:ascii="仿宋" w:hAnsi="仿宋" w:eastAsia="仿宋" w:cs="仿宋"/>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_Toc8459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32"/>
          <w:lang w:val="en-US" w:eastAsia="zh-CN"/>
        </w:rPr>
        <w:t>1.3职业发展</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_Toc8459 \h </w:instrText>
      </w:r>
      <w:r>
        <w:rPr>
          <w:rFonts w:hint="eastAsia" w:ascii="黑体" w:hAnsi="黑体" w:eastAsia="黑体" w:cs="黑体"/>
          <w:sz w:val="24"/>
          <w:szCs w:val="32"/>
        </w:rPr>
        <w:fldChar w:fldCharType="separate"/>
      </w:r>
      <w:r>
        <w:rPr>
          <w:rFonts w:hint="eastAsia" w:ascii="黑体" w:hAnsi="黑体" w:eastAsia="黑体" w:cs="黑体"/>
          <w:sz w:val="24"/>
          <w:szCs w:val="32"/>
        </w:rPr>
        <w:t>32</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5583718C">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_Toc18323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1.3.1就业概况</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_Toc18323 \h </w:instrText>
      </w:r>
      <w:r>
        <w:rPr>
          <w:rFonts w:hint="eastAsia" w:ascii="仿宋" w:hAnsi="仿宋" w:eastAsia="仿宋" w:cs="仿宋"/>
          <w:sz w:val="24"/>
          <w:szCs w:val="32"/>
        </w:rPr>
        <w:fldChar w:fldCharType="separate"/>
      </w:r>
      <w:r>
        <w:rPr>
          <w:rFonts w:hint="eastAsia" w:ascii="仿宋" w:hAnsi="仿宋" w:eastAsia="仿宋" w:cs="仿宋"/>
          <w:sz w:val="24"/>
          <w:szCs w:val="32"/>
        </w:rPr>
        <w:t>32</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34CA3D0B">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_Toc10784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1.3.2 升学概况</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_Toc10784 \h </w:instrText>
      </w:r>
      <w:r>
        <w:rPr>
          <w:rFonts w:hint="eastAsia" w:ascii="仿宋" w:hAnsi="仿宋" w:eastAsia="仿宋" w:cs="仿宋"/>
          <w:sz w:val="24"/>
          <w:szCs w:val="32"/>
        </w:rPr>
        <w:fldChar w:fldCharType="separate"/>
      </w:r>
      <w:r>
        <w:rPr>
          <w:rFonts w:hint="eastAsia" w:ascii="仿宋" w:hAnsi="仿宋" w:eastAsia="仿宋" w:cs="仿宋"/>
          <w:sz w:val="24"/>
          <w:szCs w:val="32"/>
        </w:rPr>
        <w:t>34</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2B7BC6CD">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_Toc8823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 xml:space="preserve">2 </w:t>
      </w:r>
      <w:r>
        <w:rPr>
          <w:rFonts w:hint="eastAsia" w:ascii="黑体" w:hAnsi="黑体" w:eastAsia="黑体" w:cs="黑体"/>
          <w:bCs/>
          <w:color w:val="000000"/>
          <w:kern w:val="2"/>
          <w:sz w:val="28"/>
          <w:szCs w:val="28"/>
          <w:shd w:val="clear" w:color="auto" w:fill="FFFFFF"/>
        </w:rPr>
        <w:t>产教融合</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_Toc8823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35</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34764E80">
      <w:pPr>
        <w:pStyle w:val="16"/>
        <w:tabs>
          <w:tab w:val="right" w:leader="dot" w:pos="8306"/>
        </w:tabs>
        <w:rPr>
          <w:rFonts w:hint="eastAsia" w:ascii="黑体" w:hAnsi="黑体" w:eastAsia="黑体" w:cs="黑体"/>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_Toc12840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40"/>
          <w:shd w:val="clear" w:color="auto" w:fill="FFFFFF"/>
          <w:lang w:val="en-US" w:eastAsia="zh-CN"/>
        </w:rPr>
        <w:t>2.1合作共建</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_Toc12840 \h </w:instrText>
      </w:r>
      <w:r>
        <w:rPr>
          <w:rFonts w:hint="eastAsia" w:ascii="黑体" w:hAnsi="黑体" w:eastAsia="黑体" w:cs="黑体"/>
          <w:sz w:val="24"/>
          <w:szCs w:val="32"/>
        </w:rPr>
        <w:fldChar w:fldCharType="separate"/>
      </w:r>
      <w:r>
        <w:rPr>
          <w:rFonts w:hint="eastAsia" w:ascii="黑体" w:hAnsi="黑体" w:eastAsia="黑体" w:cs="黑体"/>
          <w:sz w:val="24"/>
          <w:szCs w:val="32"/>
        </w:rPr>
        <w:t>35</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65E75093">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_Toc20200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2.1.1 共建市域产教联合体建设</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_Toc20200 \h </w:instrText>
      </w:r>
      <w:r>
        <w:rPr>
          <w:rFonts w:hint="eastAsia" w:ascii="仿宋" w:hAnsi="仿宋" w:eastAsia="仿宋" w:cs="仿宋"/>
          <w:sz w:val="24"/>
          <w:szCs w:val="32"/>
        </w:rPr>
        <w:fldChar w:fldCharType="separate"/>
      </w:r>
      <w:r>
        <w:rPr>
          <w:rFonts w:hint="eastAsia" w:ascii="仿宋" w:hAnsi="仿宋" w:eastAsia="仿宋" w:cs="仿宋"/>
          <w:sz w:val="24"/>
          <w:szCs w:val="32"/>
        </w:rPr>
        <w:t>35</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6CCED301">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_Toc13153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2.1.2 共建</w:t>
      </w:r>
      <w:r>
        <w:rPr>
          <w:rFonts w:hint="eastAsia" w:ascii="仿宋" w:hAnsi="仿宋" w:eastAsia="仿宋" w:cs="仿宋"/>
          <w:bCs/>
          <w:sz w:val="24"/>
          <w:szCs w:val="32"/>
        </w:rPr>
        <w:t>行业产教融合共同体</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_Toc13153 \h </w:instrText>
      </w:r>
      <w:r>
        <w:rPr>
          <w:rFonts w:hint="eastAsia" w:ascii="仿宋" w:hAnsi="仿宋" w:eastAsia="仿宋" w:cs="仿宋"/>
          <w:sz w:val="24"/>
          <w:szCs w:val="32"/>
        </w:rPr>
        <w:fldChar w:fldCharType="separate"/>
      </w:r>
      <w:r>
        <w:rPr>
          <w:rFonts w:hint="eastAsia" w:ascii="仿宋" w:hAnsi="仿宋" w:eastAsia="仿宋" w:cs="仿宋"/>
          <w:sz w:val="24"/>
          <w:szCs w:val="32"/>
        </w:rPr>
        <w:t>36</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620CB492">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_Toc15160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 xml:space="preserve">2.1.3 </w:t>
      </w:r>
      <w:r>
        <w:rPr>
          <w:rFonts w:hint="eastAsia" w:ascii="仿宋" w:hAnsi="仿宋" w:eastAsia="仿宋" w:cs="仿宋"/>
          <w:bCs/>
          <w:sz w:val="24"/>
          <w:szCs w:val="36"/>
          <w:lang w:eastAsia="zh-CN"/>
        </w:rPr>
        <w:t>共建生产实践基地</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_Toc15160 \h </w:instrText>
      </w:r>
      <w:r>
        <w:rPr>
          <w:rFonts w:hint="eastAsia" w:ascii="仿宋" w:hAnsi="仿宋" w:eastAsia="仿宋" w:cs="仿宋"/>
          <w:sz w:val="24"/>
          <w:szCs w:val="32"/>
        </w:rPr>
        <w:fldChar w:fldCharType="separate"/>
      </w:r>
      <w:r>
        <w:rPr>
          <w:rFonts w:hint="eastAsia" w:ascii="仿宋" w:hAnsi="仿宋" w:eastAsia="仿宋" w:cs="仿宋"/>
          <w:sz w:val="24"/>
          <w:szCs w:val="32"/>
        </w:rPr>
        <w:t>37</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2E8CD6F8">
      <w:pPr>
        <w:pStyle w:val="16"/>
        <w:tabs>
          <w:tab w:val="right" w:leader="dot" w:pos="8306"/>
        </w:tabs>
        <w:rPr>
          <w:rFonts w:hint="eastAsia" w:ascii="黑体" w:hAnsi="黑体" w:eastAsia="黑体" w:cs="黑体"/>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_Toc5024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32"/>
          <w:lang w:val="en-US" w:eastAsia="zh-CN"/>
        </w:rPr>
        <w:t>2.2协同育人</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_Toc5024 \h </w:instrText>
      </w:r>
      <w:r>
        <w:rPr>
          <w:rFonts w:hint="eastAsia" w:ascii="黑体" w:hAnsi="黑体" w:eastAsia="黑体" w:cs="黑体"/>
          <w:sz w:val="24"/>
          <w:szCs w:val="32"/>
        </w:rPr>
        <w:fldChar w:fldCharType="separate"/>
      </w:r>
      <w:r>
        <w:rPr>
          <w:rFonts w:hint="eastAsia" w:ascii="黑体" w:hAnsi="黑体" w:eastAsia="黑体" w:cs="黑体"/>
          <w:sz w:val="24"/>
          <w:szCs w:val="32"/>
        </w:rPr>
        <w:t>41</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1D6916DD">
      <w:pPr>
        <w:pStyle w:val="16"/>
        <w:tabs>
          <w:tab w:val="right" w:leader="dot" w:pos="8306"/>
        </w:tabs>
        <w:rPr>
          <w:rFonts w:hint="eastAsia" w:ascii="仿宋" w:hAnsi="仿宋" w:eastAsia="仿宋" w:cs="仿宋"/>
          <w:sz w:val="24"/>
          <w:szCs w:val="32"/>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kern w:val="2"/>
          <w:sz w:val="24"/>
          <w:szCs w:val="32"/>
          <w:shd w:val="clear" w:color="auto" w:fill="FFFFFF"/>
        </w:rPr>
        <w:instrText xml:space="preserve"> HYPERLINK \l _Toc19338 </w:instrText>
      </w:r>
      <w:r>
        <w:rPr>
          <w:rFonts w:hint="eastAsia" w:ascii="黑体" w:hAnsi="黑体" w:eastAsia="黑体" w:cs="黑体"/>
          <w:bCs/>
          <w:kern w:val="2"/>
          <w:sz w:val="24"/>
          <w:szCs w:val="32"/>
          <w:shd w:val="clear" w:color="auto" w:fill="FFFFFF"/>
        </w:rPr>
        <w:fldChar w:fldCharType="separate"/>
      </w:r>
      <w:r>
        <w:rPr>
          <w:rFonts w:hint="eastAsia" w:ascii="黑体" w:hAnsi="黑体" w:eastAsia="黑体" w:cs="黑体"/>
          <w:bCs/>
          <w:sz w:val="24"/>
          <w:szCs w:val="32"/>
          <w:lang w:val="en-US" w:eastAsia="zh-CN"/>
        </w:rPr>
        <w:t>2.3双师共培</w:t>
      </w:r>
      <w:r>
        <w:rPr>
          <w:rFonts w:hint="eastAsia" w:ascii="黑体" w:hAnsi="黑体" w:eastAsia="黑体" w:cs="黑体"/>
          <w:sz w:val="24"/>
          <w:szCs w:val="32"/>
        </w:rPr>
        <w:tab/>
      </w:r>
      <w:r>
        <w:rPr>
          <w:rFonts w:hint="eastAsia" w:ascii="黑体" w:hAnsi="黑体" w:eastAsia="黑体" w:cs="黑体"/>
          <w:sz w:val="24"/>
          <w:szCs w:val="32"/>
        </w:rPr>
        <w:fldChar w:fldCharType="begin"/>
      </w:r>
      <w:r>
        <w:rPr>
          <w:rFonts w:hint="eastAsia" w:ascii="黑体" w:hAnsi="黑体" w:eastAsia="黑体" w:cs="黑体"/>
          <w:sz w:val="24"/>
          <w:szCs w:val="32"/>
        </w:rPr>
        <w:instrText xml:space="preserve"> PAGEREF _Toc19338 \h </w:instrText>
      </w:r>
      <w:r>
        <w:rPr>
          <w:rFonts w:hint="eastAsia" w:ascii="黑体" w:hAnsi="黑体" w:eastAsia="黑体" w:cs="黑体"/>
          <w:sz w:val="24"/>
          <w:szCs w:val="32"/>
        </w:rPr>
        <w:fldChar w:fldCharType="separate"/>
      </w:r>
      <w:r>
        <w:rPr>
          <w:rFonts w:hint="eastAsia" w:ascii="黑体" w:hAnsi="黑体" w:eastAsia="黑体" w:cs="黑体"/>
          <w:sz w:val="24"/>
          <w:szCs w:val="32"/>
        </w:rPr>
        <w:t>47</w:t>
      </w:r>
      <w:r>
        <w:rPr>
          <w:rFonts w:hint="eastAsia" w:ascii="黑体" w:hAnsi="黑体" w:eastAsia="黑体" w:cs="黑体"/>
          <w:sz w:val="24"/>
          <w:szCs w:val="32"/>
        </w:rPr>
        <w:fldChar w:fldCharType="end"/>
      </w:r>
      <w:r>
        <w:rPr>
          <w:rFonts w:hint="eastAsia" w:ascii="黑体" w:hAnsi="黑体" w:eastAsia="黑体" w:cs="黑体"/>
          <w:bCs/>
          <w:color w:val="000000"/>
          <w:kern w:val="2"/>
          <w:sz w:val="24"/>
          <w:szCs w:val="32"/>
          <w:shd w:val="clear" w:color="auto" w:fill="FFFFFF"/>
        </w:rPr>
        <w:fldChar w:fldCharType="end"/>
      </w:r>
    </w:p>
    <w:p w14:paraId="412581A1">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_Toc28056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2"/>
          <w:lang w:val="en-US" w:eastAsia="zh-CN"/>
        </w:rPr>
        <w:t>2.3.1 双师队伍建设</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_Toc28056 \h </w:instrText>
      </w:r>
      <w:r>
        <w:rPr>
          <w:rFonts w:hint="eastAsia" w:ascii="仿宋" w:hAnsi="仿宋" w:eastAsia="仿宋" w:cs="仿宋"/>
          <w:sz w:val="24"/>
          <w:szCs w:val="32"/>
        </w:rPr>
        <w:fldChar w:fldCharType="separate"/>
      </w:r>
      <w:r>
        <w:rPr>
          <w:rFonts w:hint="eastAsia" w:ascii="仿宋" w:hAnsi="仿宋" w:eastAsia="仿宋" w:cs="仿宋"/>
          <w:sz w:val="24"/>
          <w:szCs w:val="32"/>
        </w:rPr>
        <w:t>47</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3D3D713C">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_Toc17021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2.3.2教师学历提升成果丰硕</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_Toc17021 \h </w:instrText>
      </w:r>
      <w:r>
        <w:rPr>
          <w:rFonts w:hint="eastAsia" w:ascii="仿宋" w:hAnsi="仿宋" w:eastAsia="仿宋" w:cs="仿宋"/>
          <w:sz w:val="24"/>
          <w:szCs w:val="32"/>
        </w:rPr>
        <w:fldChar w:fldCharType="separate"/>
      </w:r>
      <w:r>
        <w:rPr>
          <w:rFonts w:hint="eastAsia" w:ascii="仿宋" w:hAnsi="仿宋" w:eastAsia="仿宋" w:cs="仿宋"/>
          <w:sz w:val="24"/>
          <w:szCs w:val="32"/>
        </w:rPr>
        <w:t>48</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4A96D261">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_Toc2388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2.3.3名师培养梯队建设扎实推进</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_Toc2388 \h </w:instrText>
      </w:r>
      <w:r>
        <w:rPr>
          <w:rFonts w:hint="eastAsia" w:ascii="仿宋" w:hAnsi="仿宋" w:eastAsia="仿宋" w:cs="仿宋"/>
          <w:sz w:val="24"/>
          <w:szCs w:val="32"/>
        </w:rPr>
        <w:fldChar w:fldCharType="separate"/>
      </w:r>
      <w:r>
        <w:rPr>
          <w:rFonts w:hint="eastAsia" w:ascii="仿宋" w:hAnsi="仿宋" w:eastAsia="仿宋" w:cs="仿宋"/>
          <w:sz w:val="24"/>
          <w:szCs w:val="32"/>
        </w:rPr>
        <w:t>48</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5F2D32A3">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_Toc16426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kern w:val="2"/>
          <w:sz w:val="24"/>
          <w:szCs w:val="36"/>
          <w:lang w:val="en-US" w:eastAsia="zh-CN" w:bidi="ar-SA"/>
        </w:rPr>
        <w:t>2.3.4 典型案例3</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_Toc16426 \h </w:instrText>
      </w:r>
      <w:r>
        <w:rPr>
          <w:rFonts w:hint="eastAsia" w:ascii="仿宋" w:hAnsi="仿宋" w:eastAsia="仿宋" w:cs="仿宋"/>
          <w:sz w:val="24"/>
          <w:szCs w:val="32"/>
        </w:rPr>
        <w:fldChar w:fldCharType="separate"/>
      </w:r>
      <w:r>
        <w:rPr>
          <w:rFonts w:hint="eastAsia" w:ascii="仿宋" w:hAnsi="仿宋" w:eastAsia="仿宋" w:cs="仿宋"/>
          <w:sz w:val="24"/>
          <w:szCs w:val="32"/>
        </w:rPr>
        <w:t>49</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2E38D8FA">
      <w:pPr>
        <w:pStyle w:val="10"/>
        <w:tabs>
          <w:tab w:val="right" w:leader="dot" w:pos="8306"/>
        </w:tabs>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_Toc4646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36"/>
          <w:lang w:val="en-US" w:eastAsia="zh-CN"/>
        </w:rPr>
        <w:t>2.3.5 校企互兼互聘</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_Toc4646 \h </w:instrText>
      </w:r>
      <w:r>
        <w:rPr>
          <w:rFonts w:hint="eastAsia" w:ascii="仿宋" w:hAnsi="仿宋" w:eastAsia="仿宋" w:cs="仿宋"/>
          <w:sz w:val="24"/>
          <w:szCs w:val="32"/>
        </w:rPr>
        <w:fldChar w:fldCharType="separate"/>
      </w:r>
      <w:r>
        <w:rPr>
          <w:rFonts w:hint="eastAsia" w:ascii="仿宋" w:hAnsi="仿宋" w:eastAsia="仿宋" w:cs="仿宋"/>
          <w:sz w:val="24"/>
          <w:szCs w:val="32"/>
        </w:rPr>
        <w:t>54</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2ADF58F4">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_Toc814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 xml:space="preserve">3 </w:t>
      </w:r>
      <w:r>
        <w:rPr>
          <w:rFonts w:hint="eastAsia" w:ascii="黑体" w:hAnsi="黑体" w:eastAsia="黑体" w:cs="黑体"/>
          <w:bCs/>
          <w:color w:val="000000"/>
          <w:kern w:val="2"/>
          <w:sz w:val="28"/>
          <w:szCs w:val="28"/>
          <w:shd w:val="clear" w:color="auto" w:fill="FFFFFF"/>
        </w:rPr>
        <w:t>服务贡献</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_Toc814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54</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3232C426">
      <w:pPr>
        <w:pStyle w:val="16"/>
        <w:tabs>
          <w:tab w:val="right" w:leader="dot" w:pos="8306"/>
        </w:tabs>
        <w:rPr>
          <w:sz w:val="24"/>
          <w:szCs w:val="32"/>
        </w:rPr>
      </w:pPr>
      <w:r>
        <w:rPr>
          <w:rFonts w:hint="eastAsia" w:ascii="微软雅黑" w:hAnsi="微软雅黑" w:eastAsia="微软雅黑" w:cs="微软雅黑"/>
          <w:bCs/>
          <w:color w:val="000000"/>
          <w:kern w:val="2"/>
          <w:sz w:val="24"/>
          <w:szCs w:val="32"/>
          <w:shd w:val="clear" w:color="auto" w:fill="FFFFFF"/>
        </w:rPr>
        <w:fldChar w:fldCharType="begin"/>
      </w:r>
      <w:r>
        <w:rPr>
          <w:rFonts w:hint="eastAsia" w:ascii="微软雅黑" w:hAnsi="微软雅黑" w:eastAsia="微软雅黑" w:cs="微软雅黑"/>
          <w:bCs/>
          <w:kern w:val="2"/>
          <w:sz w:val="24"/>
          <w:szCs w:val="32"/>
          <w:shd w:val="clear" w:color="auto" w:fill="FFFFFF"/>
        </w:rPr>
        <w:instrText xml:space="preserve"> HYPERLINK \l _Toc9309 </w:instrText>
      </w:r>
      <w:r>
        <w:rPr>
          <w:rFonts w:hint="eastAsia" w:ascii="微软雅黑" w:hAnsi="微软雅黑" w:eastAsia="微软雅黑" w:cs="微软雅黑"/>
          <w:bCs/>
          <w:kern w:val="2"/>
          <w:sz w:val="24"/>
          <w:szCs w:val="32"/>
          <w:shd w:val="clear" w:color="auto" w:fill="FFFFFF"/>
        </w:rPr>
        <w:fldChar w:fldCharType="separate"/>
      </w:r>
      <w:r>
        <w:rPr>
          <w:rFonts w:hint="eastAsia" w:ascii="黑体" w:hAnsi="黑体" w:eastAsia="黑体"/>
          <w:bCs/>
          <w:sz w:val="24"/>
          <w:szCs w:val="40"/>
          <w:shd w:val="clear" w:color="auto" w:fill="FFFFFF"/>
          <w:lang w:val="en-US" w:eastAsia="zh-CN"/>
        </w:rPr>
        <w:t>3.1人才输送</w:t>
      </w:r>
      <w:r>
        <w:rPr>
          <w:sz w:val="24"/>
          <w:szCs w:val="32"/>
        </w:rPr>
        <w:tab/>
      </w:r>
      <w:r>
        <w:rPr>
          <w:sz w:val="24"/>
          <w:szCs w:val="32"/>
        </w:rPr>
        <w:fldChar w:fldCharType="begin"/>
      </w:r>
      <w:r>
        <w:rPr>
          <w:sz w:val="24"/>
          <w:szCs w:val="32"/>
        </w:rPr>
        <w:instrText xml:space="preserve"> PAGEREF _Toc9309 \h </w:instrText>
      </w:r>
      <w:r>
        <w:rPr>
          <w:sz w:val="24"/>
          <w:szCs w:val="32"/>
        </w:rPr>
        <w:fldChar w:fldCharType="separate"/>
      </w:r>
      <w:r>
        <w:rPr>
          <w:sz w:val="24"/>
          <w:szCs w:val="32"/>
        </w:rPr>
        <w:t>54</w:t>
      </w:r>
      <w:r>
        <w:rPr>
          <w:sz w:val="24"/>
          <w:szCs w:val="32"/>
        </w:rPr>
        <w:fldChar w:fldCharType="end"/>
      </w:r>
      <w:r>
        <w:rPr>
          <w:rFonts w:hint="eastAsia" w:ascii="微软雅黑" w:hAnsi="微软雅黑" w:eastAsia="微软雅黑" w:cs="微软雅黑"/>
          <w:bCs/>
          <w:color w:val="000000"/>
          <w:kern w:val="2"/>
          <w:sz w:val="24"/>
          <w:szCs w:val="32"/>
          <w:shd w:val="clear" w:color="auto" w:fill="FFFFFF"/>
        </w:rPr>
        <w:fldChar w:fldCharType="end"/>
      </w:r>
    </w:p>
    <w:p w14:paraId="7E3B5E68">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_Toc24368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40"/>
          <w:shd w:val="clear" w:color="auto" w:fill="FFFFFF"/>
          <w:lang w:val="en-US" w:eastAsia="zh-CN"/>
        </w:rPr>
        <w:t>3.1.1 服务新质生产力</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_Toc24368 \h </w:instrText>
      </w:r>
      <w:r>
        <w:rPr>
          <w:rFonts w:hint="eastAsia" w:ascii="仿宋" w:hAnsi="仿宋" w:eastAsia="仿宋" w:cs="仿宋"/>
          <w:sz w:val="24"/>
          <w:szCs w:val="32"/>
        </w:rPr>
        <w:fldChar w:fldCharType="separate"/>
      </w:r>
      <w:r>
        <w:rPr>
          <w:rFonts w:hint="eastAsia" w:ascii="仿宋" w:hAnsi="仿宋" w:eastAsia="仿宋" w:cs="仿宋"/>
          <w:sz w:val="24"/>
          <w:szCs w:val="32"/>
        </w:rPr>
        <w:t>54</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0D3EC730">
      <w:pPr>
        <w:pStyle w:val="10"/>
        <w:tabs>
          <w:tab w:val="right" w:leader="dot" w:pos="8306"/>
        </w:tabs>
        <w:rPr>
          <w:rFonts w:hint="eastAsia" w:ascii="仿宋" w:hAnsi="仿宋" w:eastAsia="仿宋" w:cs="仿宋"/>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kern w:val="2"/>
          <w:sz w:val="24"/>
          <w:szCs w:val="32"/>
          <w:shd w:val="clear" w:color="auto" w:fill="FFFFFF"/>
        </w:rPr>
        <w:instrText xml:space="preserve"> HYPERLINK \l _Toc8707 </w:instrText>
      </w:r>
      <w:r>
        <w:rPr>
          <w:rFonts w:hint="eastAsia" w:ascii="仿宋" w:hAnsi="仿宋" w:eastAsia="仿宋" w:cs="仿宋"/>
          <w:bCs/>
          <w:kern w:val="2"/>
          <w:sz w:val="24"/>
          <w:szCs w:val="32"/>
          <w:shd w:val="clear" w:color="auto" w:fill="FFFFFF"/>
        </w:rPr>
        <w:fldChar w:fldCharType="separate"/>
      </w:r>
      <w:r>
        <w:rPr>
          <w:rFonts w:hint="eastAsia" w:ascii="仿宋" w:hAnsi="仿宋" w:eastAsia="仿宋" w:cs="仿宋"/>
          <w:bCs/>
          <w:sz w:val="24"/>
          <w:szCs w:val="40"/>
          <w:lang w:val="en-US" w:eastAsia="zh-CN"/>
        </w:rPr>
        <w:t>3.2.2 服务科技创新</w:t>
      </w:r>
      <w:r>
        <w:rPr>
          <w:rFonts w:hint="eastAsia" w:ascii="仿宋" w:hAnsi="仿宋" w:eastAsia="仿宋" w:cs="仿宋"/>
          <w:sz w:val="24"/>
          <w:szCs w:val="32"/>
        </w:rPr>
        <w:tab/>
      </w:r>
      <w:r>
        <w:rPr>
          <w:rFonts w:hint="eastAsia" w:ascii="仿宋" w:hAnsi="仿宋" w:eastAsia="仿宋" w:cs="仿宋"/>
          <w:sz w:val="24"/>
          <w:szCs w:val="32"/>
        </w:rPr>
        <w:fldChar w:fldCharType="begin"/>
      </w:r>
      <w:r>
        <w:rPr>
          <w:rFonts w:hint="eastAsia" w:ascii="仿宋" w:hAnsi="仿宋" w:eastAsia="仿宋" w:cs="仿宋"/>
          <w:sz w:val="24"/>
          <w:szCs w:val="32"/>
        </w:rPr>
        <w:instrText xml:space="preserve"> PAGEREF _Toc8707 \h </w:instrText>
      </w:r>
      <w:r>
        <w:rPr>
          <w:rFonts w:hint="eastAsia" w:ascii="仿宋" w:hAnsi="仿宋" w:eastAsia="仿宋" w:cs="仿宋"/>
          <w:sz w:val="24"/>
          <w:szCs w:val="32"/>
        </w:rPr>
        <w:fldChar w:fldCharType="separate"/>
      </w:r>
      <w:r>
        <w:rPr>
          <w:rFonts w:hint="eastAsia" w:ascii="仿宋" w:hAnsi="仿宋" w:eastAsia="仿宋" w:cs="仿宋"/>
          <w:sz w:val="24"/>
          <w:szCs w:val="32"/>
        </w:rPr>
        <w:t>55</w:t>
      </w:r>
      <w:r>
        <w:rPr>
          <w:rFonts w:hint="eastAsia" w:ascii="仿宋" w:hAnsi="仿宋" w:eastAsia="仿宋" w:cs="仿宋"/>
          <w:sz w:val="24"/>
          <w:szCs w:val="32"/>
        </w:rPr>
        <w:fldChar w:fldCharType="end"/>
      </w:r>
      <w:r>
        <w:rPr>
          <w:rFonts w:hint="eastAsia" w:ascii="仿宋" w:hAnsi="仿宋" w:eastAsia="仿宋" w:cs="仿宋"/>
          <w:bCs/>
          <w:color w:val="000000"/>
          <w:kern w:val="2"/>
          <w:sz w:val="24"/>
          <w:szCs w:val="32"/>
          <w:shd w:val="clear" w:color="auto" w:fill="FFFFFF"/>
        </w:rPr>
        <w:fldChar w:fldCharType="end"/>
      </w:r>
    </w:p>
    <w:p w14:paraId="3EF054C1">
      <w:pPr>
        <w:pStyle w:val="16"/>
        <w:tabs>
          <w:tab w:val="right" w:leader="dot" w:pos="8306"/>
        </w:tabs>
        <w:rPr>
          <w:sz w:val="24"/>
          <w:szCs w:val="32"/>
        </w:rPr>
      </w:pPr>
      <w:r>
        <w:rPr>
          <w:rFonts w:hint="eastAsia" w:ascii="微软雅黑" w:hAnsi="微软雅黑" w:eastAsia="微软雅黑" w:cs="微软雅黑"/>
          <w:bCs/>
          <w:color w:val="000000"/>
          <w:kern w:val="2"/>
          <w:sz w:val="24"/>
          <w:szCs w:val="32"/>
          <w:shd w:val="clear" w:color="auto" w:fill="FFFFFF"/>
        </w:rPr>
        <w:fldChar w:fldCharType="begin"/>
      </w:r>
      <w:r>
        <w:rPr>
          <w:rFonts w:hint="eastAsia" w:ascii="微软雅黑" w:hAnsi="微软雅黑" w:eastAsia="微软雅黑" w:cs="微软雅黑"/>
          <w:bCs/>
          <w:kern w:val="2"/>
          <w:sz w:val="24"/>
          <w:szCs w:val="32"/>
          <w:shd w:val="clear" w:color="auto" w:fill="FFFFFF"/>
        </w:rPr>
        <w:instrText xml:space="preserve"> HYPERLINK \l _Toc21588 </w:instrText>
      </w:r>
      <w:r>
        <w:rPr>
          <w:rFonts w:hint="eastAsia" w:ascii="微软雅黑" w:hAnsi="微软雅黑" w:eastAsia="微软雅黑" w:cs="微软雅黑"/>
          <w:bCs/>
          <w:kern w:val="2"/>
          <w:sz w:val="24"/>
          <w:szCs w:val="32"/>
          <w:shd w:val="clear" w:color="auto" w:fill="FFFFFF"/>
        </w:rPr>
        <w:fldChar w:fldCharType="separate"/>
      </w:r>
      <w:r>
        <w:rPr>
          <w:rFonts w:hint="eastAsia" w:ascii="黑体" w:hAnsi="黑体" w:eastAsia="黑体"/>
          <w:bCs/>
          <w:sz w:val="24"/>
          <w:szCs w:val="40"/>
          <w:shd w:val="clear" w:color="auto" w:fill="FFFFFF"/>
          <w:lang w:val="en-US" w:eastAsia="zh-CN"/>
        </w:rPr>
        <w:t>3.2 产业赋能</w:t>
      </w:r>
      <w:r>
        <w:rPr>
          <w:sz w:val="24"/>
          <w:szCs w:val="32"/>
        </w:rPr>
        <w:tab/>
      </w:r>
      <w:r>
        <w:rPr>
          <w:sz w:val="24"/>
          <w:szCs w:val="32"/>
        </w:rPr>
        <w:fldChar w:fldCharType="begin"/>
      </w:r>
      <w:r>
        <w:rPr>
          <w:sz w:val="24"/>
          <w:szCs w:val="32"/>
        </w:rPr>
        <w:instrText xml:space="preserve"> PAGEREF _Toc21588 \h </w:instrText>
      </w:r>
      <w:r>
        <w:rPr>
          <w:sz w:val="24"/>
          <w:szCs w:val="32"/>
        </w:rPr>
        <w:fldChar w:fldCharType="separate"/>
      </w:r>
      <w:r>
        <w:rPr>
          <w:sz w:val="24"/>
          <w:szCs w:val="32"/>
        </w:rPr>
        <w:t>57</w:t>
      </w:r>
      <w:r>
        <w:rPr>
          <w:sz w:val="24"/>
          <w:szCs w:val="32"/>
        </w:rPr>
        <w:fldChar w:fldCharType="end"/>
      </w:r>
      <w:r>
        <w:rPr>
          <w:rFonts w:hint="eastAsia" w:ascii="微软雅黑" w:hAnsi="微软雅黑" w:eastAsia="微软雅黑" w:cs="微软雅黑"/>
          <w:bCs/>
          <w:color w:val="000000"/>
          <w:kern w:val="2"/>
          <w:sz w:val="24"/>
          <w:szCs w:val="32"/>
          <w:shd w:val="clear" w:color="auto" w:fill="FFFFFF"/>
        </w:rPr>
        <w:fldChar w:fldCharType="end"/>
      </w:r>
    </w:p>
    <w:p w14:paraId="13D223AC">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_Toc3833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w:t>
      </w:r>
      <w:r>
        <w:rPr>
          <w:rFonts w:hint="eastAsia" w:ascii="仿宋" w:hAnsi="仿宋" w:eastAsia="仿宋" w:cs="仿宋"/>
          <w:bCs/>
          <w:color w:val="000000"/>
          <w:kern w:val="2"/>
          <w:sz w:val="24"/>
          <w:szCs w:val="32"/>
          <w:shd w:val="clear" w:color="auto" w:fill="FFFFFF"/>
        </w:rPr>
        <w:t>.</w:t>
      </w:r>
      <w:r>
        <w:rPr>
          <w:rFonts w:hint="eastAsia" w:ascii="仿宋" w:hAnsi="仿宋" w:eastAsia="仿宋" w:cs="仿宋"/>
          <w:bCs/>
          <w:color w:val="000000"/>
          <w:kern w:val="2"/>
          <w:sz w:val="24"/>
          <w:szCs w:val="32"/>
          <w:shd w:val="clear" w:color="auto" w:fill="FFFFFF"/>
          <w:lang w:val="en-US" w:eastAsia="zh-CN"/>
        </w:rPr>
        <w:t>2.1</w:t>
      </w:r>
      <w:r>
        <w:rPr>
          <w:rFonts w:hint="eastAsia" w:ascii="仿宋" w:hAnsi="仿宋" w:eastAsia="仿宋" w:cs="仿宋"/>
          <w:bCs/>
          <w:color w:val="000000"/>
          <w:kern w:val="2"/>
          <w:sz w:val="24"/>
          <w:szCs w:val="32"/>
          <w:shd w:val="clear" w:color="auto" w:fill="FFFFFF"/>
        </w:rPr>
        <w:t>服务内容与实施情况</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_Toc3833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58</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52CE4E89">
      <w:pPr>
        <w:pStyle w:val="10"/>
        <w:tabs>
          <w:tab w:val="right" w:leader="dot" w:pos="8306"/>
        </w:tabs>
        <w:rPr>
          <w:sz w:val="24"/>
          <w:szCs w:val="32"/>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_Toc25710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w:t>
      </w:r>
      <w:r>
        <w:rPr>
          <w:rFonts w:hint="eastAsia" w:ascii="仿宋" w:hAnsi="仿宋" w:eastAsia="仿宋" w:cs="仿宋"/>
          <w:bCs/>
          <w:color w:val="000000"/>
          <w:kern w:val="2"/>
          <w:sz w:val="24"/>
          <w:szCs w:val="32"/>
          <w:shd w:val="clear" w:color="auto" w:fill="FFFFFF"/>
        </w:rPr>
        <w:t>.</w:t>
      </w:r>
      <w:r>
        <w:rPr>
          <w:rFonts w:hint="eastAsia" w:ascii="仿宋" w:hAnsi="仿宋" w:eastAsia="仿宋" w:cs="仿宋"/>
          <w:bCs/>
          <w:color w:val="000000"/>
          <w:kern w:val="2"/>
          <w:sz w:val="24"/>
          <w:szCs w:val="32"/>
          <w:shd w:val="clear" w:color="auto" w:fill="FFFFFF"/>
          <w:lang w:val="en-US" w:eastAsia="zh-CN"/>
        </w:rPr>
        <w:t>2.2</w:t>
      </w:r>
      <w:r>
        <w:rPr>
          <w:rFonts w:hint="eastAsia" w:ascii="仿宋" w:hAnsi="仿宋" w:eastAsia="仿宋" w:cs="仿宋"/>
          <w:bCs/>
          <w:color w:val="000000"/>
          <w:kern w:val="2"/>
          <w:sz w:val="24"/>
          <w:szCs w:val="32"/>
          <w:shd w:val="clear" w:color="auto" w:fill="FFFFFF"/>
        </w:rPr>
        <w:t>服务成效</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_Toc25710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60</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3A7C2905">
      <w:pPr>
        <w:pStyle w:val="16"/>
        <w:tabs>
          <w:tab w:val="right" w:leader="dot" w:pos="8306"/>
        </w:tabs>
        <w:rPr>
          <w:sz w:val="24"/>
          <w:szCs w:val="32"/>
        </w:rPr>
      </w:pPr>
      <w:r>
        <w:rPr>
          <w:rFonts w:hint="eastAsia" w:ascii="微软雅黑" w:hAnsi="微软雅黑" w:eastAsia="微软雅黑" w:cs="微软雅黑"/>
          <w:bCs/>
          <w:color w:val="000000"/>
          <w:kern w:val="2"/>
          <w:sz w:val="24"/>
          <w:szCs w:val="32"/>
          <w:shd w:val="clear" w:color="auto" w:fill="FFFFFF"/>
        </w:rPr>
        <w:fldChar w:fldCharType="begin"/>
      </w:r>
      <w:r>
        <w:rPr>
          <w:rFonts w:hint="eastAsia" w:ascii="微软雅黑" w:hAnsi="微软雅黑" w:eastAsia="微软雅黑" w:cs="微软雅黑"/>
          <w:bCs/>
          <w:kern w:val="2"/>
          <w:sz w:val="24"/>
          <w:szCs w:val="32"/>
          <w:shd w:val="clear" w:color="auto" w:fill="FFFFFF"/>
        </w:rPr>
        <w:instrText xml:space="preserve"> HYPERLINK \l _Toc9550 </w:instrText>
      </w:r>
      <w:r>
        <w:rPr>
          <w:rFonts w:hint="eastAsia" w:ascii="微软雅黑" w:hAnsi="微软雅黑" w:eastAsia="微软雅黑" w:cs="微软雅黑"/>
          <w:bCs/>
          <w:kern w:val="2"/>
          <w:sz w:val="24"/>
          <w:szCs w:val="32"/>
          <w:shd w:val="clear" w:color="auto" w:fill="FFFFFF"/>
        </w:rPr>
        <w:fldChar w:fldCharType="separate"/>
      </w:r>
      <w:r>
        <w:rPr>
          <w:rFonts w:hint="eastAsia" w:ascii="黑体" w:hAnsi="黑体" w:eastAsia="黑体"/>
          <w:bCs/>
          <w:sz w:val="24"/>
          <w:szCs w:val="40"/>
          <w:shd w:val="clear" w:color="auto" w:fill="FFFFFF"/>
          <w:lang w:val="en-US" w:eastAsia="zh-CN"/>
        </w:rPr>
        <w:t>3.3 帮扶共进</w:t>
      </w:r>
      <w:r>
        <w:rPr>
          <w:sz w:val="24"/>
          <w:szCs w:val="32"/>
        </w:rPr>
        <w:tab/>
      </w:r>
      <w:r>
        <w:rPr>
          <w:sz w:val="24"/>
          <w:szCs w:val="32"/>
        </w:rPr>
        <w:fldChar w:fldCharType="begin"/>
      </w:r>
      <w:r>
        <w:rPr>
          <w:sz w:val="24"/>
          <w:szCs w:val="32"/>
        </w:rPr>
        <w:instrText xml:space="preserve"> PAGEREF _Toc9550 \h </w:instrText>
      </w:r>
      <w:r>
        <w:rPr>
          <w:sz w:val="24"/>
          <w:szCs w:val="32"/>
        </w:rPr>
        <w:fldChar w:fldCharType="separate"/>
      </w:r>
      <w:r>
        <w:rPr>
          <w:sz w:val="24"/>
          <w:szCs w:val="32"/>
        </w:rPr>
        <w:t>61</w:t>
      </w:r>
      <w:r>
        <w:rPr>
          <w:sz w:val="24"/>
          <w:szCs w:val="32"/>
        </w:rPr>
        <w:fldChar w:fldCharType="end"/>
      </w:r>
      <w:r>
        <w:rPr>
          <w:rFonts w:hint="eastAsia" w:ascii="微软雅黑" w:hAnsi="微软雅黑" w:eastAsia="微软雅黑" w:cs="微软雅黑"/>
          <w:bCs/>
          <w:color w:val="000000"/>
          <w:kern w:val="2"/>
          <w:sz w:val="24"/>
          <w:szCs w:val="32"/>
          <w:shd w:val="clear" w:color="auto" w:fill="FFFFFF"/>
        </w:rPr>
        <w:fldChar w:fldCharType="end"/>
      </w:r>
    </w:p>
    <w:p w14:paraId="7EFA3F45">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_Toc27297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3.3.1 服务地方经济</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_Toc27297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61</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7A90E00">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_Toc24514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3.3.2助力地方经济发展</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_Toc24514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62</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5C9A742B">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_Toc23109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3.3.3服务乡村振兴</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_Toc23109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63</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D17D412">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_Toc8569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3.3.4服务地方社区</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_Toc8569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64</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4C7818D8">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_Toc6741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3.3.5 服务对口地区</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_Toc6741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66</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236C53C">
      <w:pPr>
        <w:pStyle w:val="10"/>
        <w:tabs>
          <w:tab w:val="right" w:leader="dot" w:pos="8306"/>
        </w:tabs>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_Toc11334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3.3.6 服务闽台合作(无）</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_Toc11334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68</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45599E56">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_Toc2327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4</w:t>
      </w:r>
      <w:r>
        <w:rPr>
          <w:rFonts w:hint="eastAsia" w:ascii="黑体" w:hAnsi="黑体" w:eastAsia="黑体" w:cs="黑体"/>
          <w:bCs/>
          <w:color w:val="000000"/>
          <w:kern w:val="2"/>
          <w:sz w:val="28"/>
          <w:szCs w:val="28"/>
          <w:shd w:val="clear" w:color="auto" w:fill="FFFFFF"/>
          <w:lang w:val="en-US" w:eastAsia="zh-CN"/>
        </w:rPr>
        <w:t xml:space="preserve"> </w:t>
      </w:r>
      <w:r>
        <w:rPr>
          <w:rFonts w:hint="eastAsia" w:ascii="黑体" w:hAnsi="黑体" w:eastAsia="黑体" w:cs="黑体"/>
          <w:bCs/>
          <w:color w:val="000000"/>
          <w:kern w:val="2"/>
          <w:sz w:val="28"/>
          <w:szCs w:val="28"/>
          <w:shd w:val="clear" w:color="auto" w:fill="FFFFFF"/>
        </w:rPr>
        <w:t>文化传承</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_Toc2327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69</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21405F54">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_Toc25131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4.1传承劳模精神、劳动精神、工匠精神</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_Toc25131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69</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1FD82CEC">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_Toc21003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4.2弘扬红色</w:t>
      </w:r>
      <w:r>
        <w:rPr>
          <w:rFonts w:hint="eastAsia" w:ascii="黑体" w:hAnsi="黑体" w:eastAsia="黑体" w:cs="黑体"/>
          <w:bCs/>
          <w:color w:val="000000"/>
          <w:kern w:val="2"/>
          <w:sz w:val="24"/>
          <w:szCs w:val="32"/>
          <w:shd w:val="clear" w:color="auto" w:fill="FFFFFF"/>
          <w:lang w:eastAsia="zh-CN"/>
        </w:rPr>
        <w:t>基因</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_Toc21003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71</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C0FE314">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_Toc29701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4.3传承</w:t>
      </w:r>
      <w:r>
        <w:rPr>
          <w:rFonts w:hint="eastAsia" w:ascii="黑体" w:hAnsi="黑体" w:eastAsia="黑体" w:cs="黑体"/>
          <w:bCs/>
          <w:color w:val="000000"/>
          <w:kern w:val="2"/>
          <w:sz w:val="24"/>
          <w:szCs w:val="32"/>
          <w:shd w:val="clear" w:color="auto" w:fill="FFFFFF"/>
          <w:lang w:eastAsia="zh-CN"/>
        </w:rPr>
        <w:t>非遗技艺</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_Toc29701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73</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66FDD50A">
      <w:pPr>
        <w:pStyle w:val="16"/>
        <w:tabs>
          <w:tab w:val="right" w:leader="dot" w:pos="8306"/>
        </w:tabs>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_Toc20596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4.4培育（传承）学校特色职教文化</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_Toc20596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74</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1EBEE889">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_Toc28293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4.4.1墨斗文化的内涵</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_Toc28293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74</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25213E24">
      <w:pPr>
        <w:pStyle w:val="10"/>
        <w:tabs>
          <w:tab w:val="right" w:leader="dot" w:pos="8306"/>
        </w:tabs>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_Toc19180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4.4.2.墨斗文化的建设</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_Toc19180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75</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537FB6DF">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_Toc24533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5 国际合作</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_Toc24533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76</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697B8519">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_Toc30954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5.1职教出海</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_Toc30954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76</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508757B">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_Toc25513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5.2文化传播</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_Toc25513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77</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3E329033">
      <w:pPr>
        <w:pStyle w:val="16"/>
        <w:tabs>
          <w:tab w:val="right" w:leader="dot" w:pos="8306"/>
        </w:tabs>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_Toc2339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5.3留学交流</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_Toc2339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78</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629651B4">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_Toc4229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 xml:space="preserve">6 </w:t>
      </w:r>
      <w:r>
        <w:rPr>
          <w:rFonts w:hint="eastAsia" w:ascii="黑体" w:hAnsi="黑体" w:eastAsia="黑体" w:cs="黑体"/>
          <w:bCs/>
          <w:color w:val="000000"/>
          <w:kern w:val="2"/>
          <w:sz w:val="28"/>
          <w:szCs w:val="28"/>
          <w:shd w:val="clear" w:color="auto" w:fill="FFFFFF"/>
        </w:rPr>
        <w:t>发展保障</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_Toc4229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79</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7F6EDC90">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_Toc22559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6</w:t>
      </w:r>
      <w:r>
        <w:rPr>
          <w:rFonts w:hint="eastAsia" w:ascii="黑体" w:hAnsi="黑体" w:eastAsia="黑体" w:cs="黑体"/>
          <w:bCs/>
          <w:color w:val="000000"/>
          <w:kern w:val="2"/>
          <w:sz w:val="24"/>
          <w:szCs w:val="32"/>
          <w:shd w:val="clear" w:color="auto" w:fill="FFFFFF"/>
        </w:rPr>
        <w:t>.1党建引领</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_Toc22559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79</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68B44E41">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_Toc22653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6.1.1</w:t>
      </w:r>
      <w:r>
        <w:rPr>
          <w:rFonts w:hint="eastAsia" w:ascii="仿宋" w:hAnsi="仿宋" w:eastAsia="仿宋" w:cs="仿宋"/>
          <w:bCs/>
          <w:color w:val="000000"/>
          <w:kern w:val="2"/>
          <w:sz w:val="24"/>
          <w:szCs w:val="32"/>
          <w:shd w:val="clear" w:color="auto" w:fill="FFFFFF"/>
          <w:lang w:eastAsia="zh-CN"/>
        </w:rPr>
        <w:t>深化</w:t>
      </w:r>
      <w:r>
        <w:rPr>
          <w:rFonts w:hint="eastAsia" w:ascii="仿宋" w:hAnsi="仿宋" w:eastAsia="仿宋" w:cs="仿宋"/>
          <w:bCs/>
          <w:color w:val="000000"/>
          <w:kern w:val="2"/>
          <w:sz w:val="24"/>
          <w:szCs w:val="32"/>
          <w:shd w:val="clear" w:color="auto" w:fill="FFFFFF"/>
        </w:rPr>
        <w:t>思想引领，</w:t>
      </w:r>
      <w:r>
        <w:rPr>
          <w:rFonts w:hint="eastAsia" w:ascii="仿宋" w:hAnsi="仿宋" w:eastAsia="仿宋" w:cs="仿宋"/>
          <w:bCs/>
          <w:color w:val="000000"/>
          <w:kern w:val="2"/>
          <w:sz w:val="24"/>
          <w:szCs w:val="32"/>
          <w:shd w:val="clear" w:color="auto" w:fill="FFFFFF"/>
          <w:lang w:eastAsia="zh-CN"/>
        </w:rPr>
        <w:t>筑牢政治根基</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_Toc22653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79</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6B816CA8">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_Toc16528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6.1.2加强党纪学习教育，严明党的纪律</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_Toc16528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79</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D5D76DB">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_Toc16577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6.1.3守牢意识形态阵地，筑牢思想安全屏障</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_Toc16577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80</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166E1CF1">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_Toc31518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6.1.4</w:t>
      </w:r>
      <w:r>
        <w:rPr>
          <w:rFonts w:hint="eastAsia" w:ascii="仿宋" w:hAnsi="仿宋" w:eastAsia="仿宋" w:cs="仿宋"/>
          <w:bCs/>
          <w:color w:val="000000"/>
          <w:kern w:val="2"/>
          <w:sz w:val="24"/>
          <w:szCs w:val="32"/>
          <w:shd w:val="clear" w:color="auto" w:fill="FFFFFF"/>
          <w:lang w:eastAsia="zh-CN"/>
        </w:rPr>
        <w:t>提升组织建设，筑牢战斗堡垒</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_Toc31518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81</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78321C4">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_Toc11948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6.1.5推进党风廉政建设，营造风清气正环境</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_Toc11948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81</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77F7DE4D">
      <w:pPr>
        <w:pStyle w:val="10"/>
        <w:tabs>
          <w:tab w:val="right" w:leader="dot" w:pos="8306"/>
        </w:tabs>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_Toc29121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6.1.6引领统战群团工作，凝聚协同发展合力</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_Toc29121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81</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54C47AB2">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_Toc15925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6</w:t>
      </w:r>
      <w:r>
        <w:rPr>
          <w:rFonts w:hint="eastAsia" w:ascii="黑体" w:hAnsi="黑体" w:eastAsia="黑体" w:cs="黑体"/>
          <w:bCs/>
          <w:color w:val="000000"/>
          <w:kern w:val="2"/>
          <w:sz w:val="24"/>
          <w:szCs w:val="32"/>
          <w:shd w:val="clear" w:color="auto" w:fill="FFFFFF"/>
        </w:rPr>
        <w:t>.2政策落实</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_Toc15925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82</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A63B286">
      <w:pPr>
        <w:pStyle w:val="10"/>
        <w:tabs>
          <w:tab w:val="right" w:leader="dot" w:pos="8306"/>
        </w:tabs>
        <w:rPr>
          <w:rFonts w:hint="eastAsia" w:ascii="仿宋" w:hAnsi="仿宋" w:eastAsia="仿宋" w:cs="仿宋"/>
          <w:bCs/>
          <w:color w:val="000000"/>
          <w:kern w:val="2"/>
          <w:sz w:val="24"/>
          <w:szCs w:val="32"/>
          <w:shd w:val="clear" w:color="auto" w:fill="FFFFFF"/>
        </w:rPr>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_Toc19183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w:t>
      </w:r>
      <w:r>
        <w:rPr>
          <w:rFonts w:hint="eastAsia" w:ascii="仿宋" w:hAnsi="仿宋" w:eastAsia="仿宋" w:cs="仿宋"/>
          <w:bCs/>
          <w:color w:val="000000"/>
          <w:kern w:val="2"/>
          <w:sz w:val="24"/>
          <w:szCs w:val="32"/>
          <w:shd w:val="clear" w:color="auto" w:fill="FFFFFF"/>
        </w:rPr>
        <w:t>.2.1 国家政策落实</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_Toc19183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82</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42720628">
      <w:pPr>
        <w:pStyle w:val="10"/>
        <w:tabs>
          <w:tab w:val="right" w:leader="dot" w:pos="8306"/>
        </w:tabs>
      </w:pP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HYPERLINK \l _Toc29934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lang w:val="en-US" w:eastAsia="zh-CN"/>
        </w:rPr>
        <w:t>6</w:t>
      </w:r>
      <w:r>
        <w:rPr>
          <w:rFonts w:hint="eastAsia" w:ascii="仿宋" w:hAnsi="仿宋" w:eastAsia="仿宋" w:cs="仿宋"/>
          <w:bCs/>
          <w:color w:val="000000"/>
          <w:kern w:val="2"/>
          <w:sz w:val="24"/>
          <w:szCs w:val="32"/>
          <w:shd w:val="clear" w:color="auto" w:fill="FFFFFF"/>
        </w:rPr>
        <w:t>.2.2 地方政策落实</w:t>
      </w:r>
      <w:r>
        <w:rPr>
          <w:rFonts w:hint="eastAsia" w:ascii="仿宋" w:hAnsi="仿宋" w:eastAsia="仿宋" w:cs="仿宋"/>
          <w:bCs/>
          <w:color w:val="000000"/>
          <w:kern w:val="2"/>
          <w:sz w:val="24"/>
          <w:szCs w:val="32"/>
          <w:shd w:val="clear" w:color="auto" w:fill="FFFFFF"/>
        </w:rPr>
        <w:tab/>
      </w:r>
      <w:r>
        <w:rPr>
          <w:rFonts w:hint="eastAsia" w:ascii="仿宋" w:hAnsi="仿宋" w:eastAsia="仿宋" w:cs="仿宋"/>
          <w:bCs/>
          <w:color w:val="000000"/>
          <w:kern w:val="2"/>
          <w:sz w:val="24"/>
          <w:szCs w:val="32"/>
          <w:shd w:val="clear" w:color="auto" w:fill="FFFFFF"/>
        </w:rPr>
        <w:fldChar w:fldCharType="begin"/>
      </w:r>
      <w:r>
        <w:rPr>
          <w:rFonts w:hint="eastAsia" w:ascii="仿宋" w:hAnsi="仿宋" w:eastAsia="仿宋" w:cs="仿宋"/>
          <w:bCs/>
          <w:color w:val="000000"/>
          <w:kern w:val="2"/>
          <w:sz w:val="24"/>
          <w:szCs w:val="32"/>
          <w:shd w:val="clear" w:color="auto" w:fill="FFFFFF"/>
        </w:rPr>
        <w:instrText xml:space="preserve"> PAGEREF _Toc29934 \h </w:instrText>
      </w:r>
      <w:r>
        <w:rPr>
          <w:rFonts w:hint="eastAsia" w:ascii="仿宋" w:hAnsi="仿宋" w:eastAsia="仿宋" w:cs="仿宋"/>
          <w:bCs/>
          <w:color w:val="000000"/>
          <w:kern w:val="2"/>
          <w:sz w:val="24"/>
          <w:szCs w:val="32"/>
          <w:shd w:val="clear" w:color="auto" w:fill="FFFFFF"/>
        </w:rPr>
        <w:fldChar w:fldCharType="separate"/>
      </w:r>
      <w:r>
        <w:rPr>
          <w:rFonts w:hint="eastAsia" w:ascii="仿宋" w:hAnsi="仿宋" w:eastAsia="仿宋" w:cs="仿宋"/>
          <w:bCs/>
          <w:color w:val="000000"/>
          <w:kern w:val="2"/>
          <w:sz w:val="24"/>
          <w:szCs w:val="32"/>
          <w:shd w:val="clear" w:color="auto" w:fill="FFFFFF"/>
        </w:rPr>
        <w:t>83</w:t>
      </w:r>
      <w:r>
        <w:rPr>
          <w:rFonts w:hint="eastAsia" w:ascii="仿宋" w:hAnsi="仿宋" w:eastAsia="仿宋" w:cs="仿宋"/>
          <w:bCs/>
          <w:color w:val="000000"/>
          <w:kern w:val="2"/>
          <w:sz w:val="24"/>
          <w:szCs w:val="32"/>
          <w:shd w:val="clear" w:color="auto" w:fill="FFFFFF"/>
        </w:rPr>
        <w:fldChar w:fldCharType="end"/>
      </w:r>
      <w:r>
        <w:rPr>
          <w:rFonts w:hint="eastAsia" w:ascii="仿宋" w:hAnsi="仿宋" w:eastAsia="仿宋" w:cs="仿宋"/>
          <w:bCs/>
          <w:color w:val="000000"/>
          <w:kern w:val="2"/>
          <w:sz w:val="24"/>
          <w:szCs w:val="32"/>
          <w:shd w:val="clear" w:color="auto" w:fill="FFFFFF"/>
        </w:rPr>
        <w:fldChar w:fldCharType="end"/>
      </w:r>
    </w:p>
    <w:p w14:paraId="0B53DDBB">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_Toc21278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6</w:t>
      </w:r>
      <w:r>
        <w:rPr>
          <w:rFonts w:hint="eastAsia" w:ascii="黑体" w:hAnsi="黑体" w:eastAsia="黑体" w:cs="黑体"/>
          <w:bCs/>
          <w:color w:val="000000"/>
          <w:kern w:val="2"/>
          <w:sz w:val="24"/>
          <w:szCs w:val="32"/>
          <w:shd w:val="clear" w:color="auto" w:fill="FFFFFF"/>
        </w:rPr>
        <w:t>.</w:t>
      </w:r>
      <w:r>
        <w:rPr>
          <w:rFonts w:hint="eastAsia" w:ascii="黑体" w:hAnsi="黑体" w:eastAsia="黑体" w:cs="黑体"/>
          <w:bCs/>
          <w:color w:val="000000"/>
          <w:kern w:val="2"/>
          <w:sz w:val="24"/>
          <w:szCs w:val="32"/>
          <w:shd w:val="clear" w:color="auto" w:fill="FFFFFF"/>
          <w:lang w:val="en-US" w:eastAsia="zh-CN"/>
        </w:rPr>
        <w:t xml:space="preserve">3 </w:t>
      </w:r>
      <w:r>
        <w:rPr>
          <w:rFonts w:hint="eastAsia" w:ascii="黑体" w:hAnsi="黑体" w:eastAsia="黑体" w:cs="黑体"/>
          <w:bCs/>
          <w:color w:val="000000"/>
          <w:kern w:val="2"/>
          <w:sz w:val="24"/>
          <w:szCs w:val="32"/>
          <w:shd w:val="clear" w:color="auto" w:fill="FFFFFF"/>
        </w:rPr>
        <w:t>经费</w:t>
      </w:r>
      <w:r>
        <w:rPr>
          <w:rFonts w:hint="eastAsia" w:ascii="黑体" w:hAnsi="黑体" w:eastAsia="黑体" w:cs="黑体"/>
          <w:bCs/>
          <w:color w:val="000000"/>
          <w:kern w:val="2"/>
          <w:sz w:val="24"/>
          <w:szCs w:val="32"/>
          <w:shd w:val="clear" w:color="auto" w:fill="FFFFFF"/>
          <w:lang w:eastAsia="zh-CN"/>
        </w:rPr>
        <w:t>保障</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_Toc21278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84</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2981FE6C">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_Toc32246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6.4设施保障</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_Toc32246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85</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2918DD3D">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_Toc24426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6</w:t>
      </w:r>
      <w:r>
        <w:rPr>
          <w:rFonts w:hint="eastAsia" w:ascii="黑体" w:hAnsi="黑体" w:eastAsia="黑体" w:cs="黑体"/>
          <w:bCs/>
          <w:color w:val="000000"/>
          <w:kern w:val="2"/>
          <w:sz w:val="24"/>
          <w:szCs w:val="32"/>
          <w:shd w:val="clear" w:color="auto" w:fill="FFFFFF"/>
        </w:rPr>
        <w:t>.</w:t>
      </w:r>
      <w:r>
        <w:rPr>
          <w:rFonts w:hint="eastAsia" w:ascii="黑体" w:hAnsi="黑体" w:eastAsia="黑体" w:cs="黑体"/>
          <w:bCs/>
          <w:color w:val="000000"/>
          <w:kern w:val="2"/>
          <w:sz w:val="24"/>
          <w:szCs w:val="32"/>
          <w:shd w:val="clear" w:color="auto" w:fill="FFFFFF"/>
          <w:lang w:val="en-US" w:eastAsia="zh-CN"/>
        </w:rPr>
        <w:t xml:space="preserve">5 </w:t>
      </w:r>
      <w:r>
        <w:rPr>
          <w:rFonts w:hint="eastAsia" w:ascii="黑体" w:hAnsi="黑体" w:eastAsia="黑体" w:cs="黑体"/>
          <w:bCs/>
          <w:color w:val="000000"/>
          <w:kern w:val="2"/>
          <w:sz w:val="24"/>
          <w:szCs w:val="32"/>
          <w:shd w:val="clear" w:color="auto" w:fill="FFFFFF"/>
        </w:rPr>
        <w:t>质量保障</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_Toc24426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85</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24A2A173">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sz w:val="28"/>
          <w:szCs w:val="28"/>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_Toc16010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lang w:val="en-US" w:eastAsia="zh-CN"/>
        </w:rPr>
        <w:t>7. 挑战与展望</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_Toc16010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87</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33CBCD7C">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_Toc23139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7.1 面临挑战</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_Toc23139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87</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75BDB70A">
      <w:pPr>
        <w:pStyle w:val="16"/>
        <w:tabs>
          <w:tab w:val="right" w:leader="dot" w:pos="8306"/>
        </w:tabs>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_Toc20509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7.2 发展展望</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_Toc20509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88</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DE64303">
      <w:pPr>
        <w:pStyle w:val="14"/>
        <w:keepNext w:val="0"/>
        <w:keepLines w:val="0"/>
        <w:pageBreakBefore w:val="0"/>
        <w:widowControl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Cs/>
          <w:color w:val="000000"/>
          <w:kern w:val="2"/>
          <w:sz w:val="28"/>
          <w:szCs w:val="28"/>
          <w:shd w:val="clear" w:color="auto" w:fill="FFFFFF"/>
        </w:rPr>
      </w:pP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HYPERLINK \l _Toc29772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附表</w:t>
      </w:r>
      <w:r>
        <w:rPr>
          <w:rFonts w:hint="eastAsia" w:ascii="黑体" w:hAnsi="黑体" w:eastAsia="黑体" w:cs="黑体"/>
          <w:bCs/>
          <w:color w:val="000000"/>
          <w:kern w:val="2"/>
          <w:sz w:val="28"/>
          <w:szCs w:val="28"/>
          <w:shd w:val="clear" w:color="auto" w:fill="FFFFFF"/>
        </w:rPr>
        <w:tab/>
      </w:r>
      <w:r>
        <w:rPr>
          <w:rFonts w:hint="eastAsia" w:ascii="黑体" w:hAnsi="黑体" w:eastAsia="黑体" w:cs="黑体"/>
          <w:bCs/>
          <w:color w:val="000000"/>
          <w:kern w:val="2"/>
          <w:sz w:val="28"/>
          <w:szCs w:val="28"/>
          <w:shd w:val="clear" w:color="auto" w:fill="FFFFFF"/>
        </w:rPr>
        <w:fldChar w:fldCharType="begin"/>
      </w:r>
      <w:r>
        <w:rPr>
          <w:rFonts w:hint="eastAsia" w:ascii="黑体" w:hAnsi="黑体" w:eastAsia="黑体" w:cs="黑体"/>
          <w:bCs/>
          <w:color w:val="000000"/>
          <w:kern w:val="2"/>
          <w:sz w:val="28"/>
          <w:szCs w:val="28"/>
          <w:shd w:val="clear" w:color="auto" w:fill="FFFFFF"/>
        </w:rPr>
        <w:instrText xml:space="preserve"> PAGEREF _Toc29772 \h </w:instrText>
      </w:r>
      <w:r>
        <w:rPr>
          <w:rFonts w:hint="eastAsia" w:ascii="黑体" w:hAnsi="黑体" w:eastAsia="黑体" w:cs="黑体"/>
          <w:bCs/>
          <w:color w:val="000000"/>
          <w:kern w:val="2"/>
          <w:sz w:val="28"/>
          <w:szCs w:val="28"/>
          <w:shd w:val="clear" w:color="auto" w:fill="FFFFFF"/>
        </w:rPr>
        <w:fldChar w:fldCharType="separate"/>
      </w:r>
      <w:r>
        <w:rPr>
          <w:rFonts w:hint="eastAsia" w:ascii="黑体" w:hAnsi="黑体" w:eastAsia="黑体" w:cs="黑体"/>
          <w:bCs/>
          <w:color w:val="000000"/>
          <w:kern w:val="2"/>
          <w:sz w:val="28"/>
          <w:szCs w:val="28"/>
          <w:shd w:val="clear" w:color="auto" w:fill="FFFFFF"/>
        </w:rPr>
        <w:t>89</w:t>
      </w:r>
      <w:r>
        <w:rPr>
          <w:rFonts w:hint="eastAsia" w:ascii="黑体" w:hAnsi="黑体" w:eastAsia="黑体" w:cs="黑体"/>
          <w:bCs/>
          <w:color w:val="000000"/>
          <w:kern w:val="2"/>
          <w:sz w:val="28"/>
          <w:szCs w:val="28"/>
          <w:shd w:val="clear" w:color="auto" w:fill="FFFFFF"/>
        </w:rPr>
        <w:fldChar w:fldCharType="end"/>
      </w:r>
      <w:r>
        <w:rPr>
          <w:rFonts w:hint="eastAsia" w:ascii="黑体" w:hAnsi="黑体" w:eastAsia="黑体" w:cs="黑体"/>
          <w:bCs/>
          <w:color w:val="000000"/>
          <w:kern w:val="2"/>
          <w:sz w:val="28"/>
          <w:szCs w:val="28"/>
          <w:shd w:val="clear" w:color="auto" w:fill="FFFFFF"/>
        </w:rPr>
        <w:fldChar w:fldCharType="end"/>
      </w:r>
    </w:p>
    <w:p w14:paraId="53C46A22">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_Toc5145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表1  人才培养质量计分卡</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_Toc5145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89</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6663292B">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_Toc31316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表2  满意度调查表</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_Toc31316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90</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0C0BB6E4">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_Toc30389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表3  教学资源表</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_Toc30389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91</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600D824">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_Toc13451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表4  服务贡献表</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_Toc13451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93</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51A09867">
      <w:pPr>
        <w:pStyle w:val="16"/>
        <w:tabs>
          <w:tab w:val="right" w:leader="dot" w:pos="8306"/>
        </w:tabs>
        <w:rPr>
          <w:rFonts w:hint="eastAsia" w:ascii="黑体" w:hAnsi="黑体" w:eastAsia="黑体" w:cs="黑体"/>
          <w:bCs/>
          <w:color w:val="000000"/>
          <w:kern w:val="2"/>
          <w:sz w:val="24"/>
          <w:szCs w:val="32"/>
          <w:shd w:val="clear" w:color="auto" w:fill="FFFFFF"/>
        </w:rPr>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_Toc24972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表5  国际影响表</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_Toc24972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94</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1F26CE5E">
      <w:pPr>
        <w:pStyle w:val="16"/>
        <w:tabs>
          <w:tab w:val="right" w:leader="dot" w:pos="8306"/>
        </w:tabs>
      </w:pP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HYPERLINK \l _Toc26796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lang w:val="en-US" w:eastAsia="zh-CN"/>
        </w:rPr>
        <w:t>表6  落实政策表</w:t>
      </w:r>
      <w:r>
        <w:rPr>
          <w:rFonts w:hint="eastAsia" w:ascii="黑体" w:hAnsi="黑体" w:eastAsia="黑体" w:cs="黑体"/>
          <w:bCs/>
          <w:color w:val="000000"/>
          <w:kern w:val="2"/>
          <w:sz w:val="24"/>
          <w:szCs w:val="32"/>
          <w:shd w:val="clear" w:color="auto" w:fill="FFFFFF"/>
        </w:rPr>
        <w:tab/>
      </w:r>
      <w:r>
        <w:rPr>
          <w:rFonts w:hint="eastAsia" w:ascii="黑体" w:hAnsi="黑体" w:eastAsia="黑体" w:cs="黑体"/>
          <w:bCs/>
          <w:color w:val="000000"/>
          <w:kern w:val="2"/>
          <w:sz w:val="24"/>
          <w:szCs w:val="32"/>
          <w:shd w:val="clear" w:color="auto" w:fill="FFFFFF"/>
        </w:rPr>
        <w:fldChar w:fldCharType="begin"/>
      </w:r>
      <w:r>
        <w:rPr>
          <w:rFonts w:hint="eastAsia" w:ascii="黑体" w:hAnsi="黑体" w:eastAsia="黑体" w:cs="黑体"/>
          <w:bCs/>
          <w:color w:val="000000"/>
          <w:kern w:val="2"/>
          <w:sz w:val="24"/>
          <w:szCs w:val="32"/>
          <w:shd w:val="clear" w:color="auto" w:fill="FFFFFF"/>
        </w:rPr>
        <w:instrText xml:space="preserve"> PAGEREF _Toc26796 \h </w:instrText>
      </w:r>
      <w:r>
        <w:rPr>
          <w:rFonts w:hint="eastAsia" w:ascii="黑体" w:hAnsi="黑体" w:eastAsia="黑体" w:cs="黑体"/>
          <w:bCs/>
          <w:color w:val="000000"/>
          <w:kern w:val="2"/>
          <w:sz w:val="24"/>
          <w:szCs w:val="32"/>
          <w:shd w:val="clear" w:color="auto" w:fill="FFFFFF"/>
        </w:rPr>
        <w:fldChar w:fldCharType="separate"/>
      </w:r>
      <w:r>
        <w:rPr>
          <w:rFonts w:hint="eastAsia" w:ascii="黑体" w:hAnsi="黑体" w:eastAsia="黑体" w:cs="黑体"/>
          <w:bCs/>
          <w:color w:val="000000"/>
          <w:kern w:val="2"/>
          <w:sz w:val="24"/>
          <w:szCs w:val="32"/>
          <w:shd w:val="clear" w:color="auto" w:fill="FFFFFF"/>
        </w:rPr>
        <w:t>95</w:t>
      </w:r>
      <w:r>
        <w:rPr>
          <w:rFonts w:hint="eastAsia" w:ascii="黑体" w:hAnsi="黑体" w:eastAsia="黑体" w:cs="黑体"/>
          <w:bCs/>
          <w:color w:val="000000"/>
          <w:kern w:val="2"/>
          <w:sz w:val="24"/>
          <w:szCs w:val="32"/>
          <w:shd w:val="clear" w:color="auto" w:fill="FFFFFF"/>
        </w:rPr>
        <w:fldChar w:fldCharType="end"/>
      </w:r>
      <w:r>
        <w:rPr>
          <w:rFonts w:hint="eastAsia" w:ascii="黑体" w:hAnsi="黑体" w:eastAsia="黑体" w:cs="黑体"/>
          <w:bCs/>
          <w:color w:val="000000"/>
          <w:kern w:val="2"/>
          <w:sz w:val="24"/>
          <w:szCs w:val="32"/>
          <w:shd w:val="clear" w:color="auto" w:fill="FFFFFF"/>
        </w:rPr>
        <w:fldChar w:fldCharType="end"/>
      </w:r>
    </w:p>
    <w:p w14:paraId="67983789">
      <w:pPr>
        <w:pStyle w:val="17"/>
        <w:spacing w:before="0" w:beforeAutospacing="0" w:after="0" w:afterAutospacing="0" w:line="580" w:lineRule="exact"/>
        <w:jc w:val="center"/>
        <w:outlineLvl w:val="9"/>
        <w:rPr>
          <w:rStyle w:val="22"/>
          <w:rFonts w:hint="eastAsia" w:ascii="微软雅黑" w:hAnsi="微软雅黑" w:eastAsia="微软雅黑" w:cs="微软雅黑"/>
          <w:b/>
          <w:bCs/>
          <w:color w:val="000000"/>
          <w:kern w:val="2"/>
          <w:sz w:val="24"/>
          <w:szCs w:val="24"/>
          <w:shd w:val="clear" w:color="auto" w:fill="FFFFFF"/>
        </w:rPr>
        <w:sectPr>
          <w:pgSz w:w="11906" w:h="16838"/>
          <w:pgMar w:top="1100" w:right="1800" w:bottom="1157" w:left="1800" w:header="851" w:footer="992" w:gutter="0"/>
          <w:cols w:space="425" w:num="1"/>
          <w:docGrid w:type="lines" w:linePitch="312" w:charSpace="0"/>
        </w:sectPr>
      </w:pPr>
      <w:r>
        <w:rPr>
          <w:rFonts w:hint="eastAsia" w:ascii="微软雅黑" w:hAnsi="微软雅黑" w:eastAsia="微软雅黑" w:cs="微软雅黑"/>
          <w:bCs/>
          <w:color w:val="000000"/>
          <w:kern w:val="2"/>
          <w:szCs w:val="24"/>
          <w:shd w:val="clear" w:color="auto" w:fill="FFFFFF"/>
        </w:rPr>
        <w:fldChar w:fldCharType="end"/>
      </w:r>
    </w:p>
    <w:p w14:paraId="7E336E9C">
      <w:pPr>
        <w:pStyle w:val="17"/>
        <w:spacing w:before="0" w:beforeAutospacing="0" w:after="0" w:afterAutospacing="0" w:line="580" w:lineRule="exact"/>
        <w:jc w:val="center"/>
        <w:outlineLvl w:val="9"/>
        <w:rPr>
          <w:rStyle w:val="22"/>
          <w:rFonts w:hint="eastAsia" w:ascii="微软雅黑" w:hAnsi="微软雅黑" w:eastAsia="微软雅黑" w:cs="微软雅黑"/>
          <w:b/>
          <w:bCs/>
          <w:color w:val="000000"/>
          <w:kern w:val="2"/>
          <w:sz w:val="44"/>
          <w:szCs w:val="44"/>
          <w:shd w:val="clear" w:color="auto" w:fill="FFFFFF"/>
        </w:rPr>
      </w:pPr>
      <w:r>
        <w:rPr>
          <w:rStyle w:val="22"/>
          <w:rFonts w:hint="eastAsia" w:ascii="微软雅黑" w:hAnsi="微软雅黑" w:eastAsia="微软雅黑" w:cs="微软雅黑"/>
          <w:b/>
          <w:bCs/>
          <w:color w:val="000000"/>
          <w:kern w:val="2"/>
          <w:sz w:val="44"/>
          <w:szCs w:val="44"/>
          <w:shd w:val="clear" w:color="auto" w:fill="FFFFFF"/>
        </w:rPr>
        <w:t>福建省</w:t>
      </w:r>
      <w:r>
        <w:rPr>
          <w:rStyle w:val="22"/>
          <w:rFonts w:hint="eastAsia" w:ascii="微软雅黑" w:hAnsi="微软雅黑" w:eastAsia="微软雅黑" w:cs="微软雅黑"/>
          <w:b/>
          <w:bCs/>
          <w:color w:val="000000"/>
          <w:kern w:val="2"/>
          <w:sz w:val="44"/>
          <w:szCs w:val="44"/>
          <w:shd w:val="clear" w:color="auto" w:fill="FFFFFF"/>
          <w:lang w:val="en-US" w:eastAsia="zh-CN"/>
        </w:rPr>
        <w:t>上杭职业中专学校</w:t>
      </w:r>
      <w:r>
        <w:rPr>
          <w:rStyle w:val="22"/>
          <w:rFonts w:hint="eastAsia" w:ascii="微软雅黑" w:hAnsi="微软雅黑" w:eastAsia="微软雅黑" w:cs="微软雅黑"/>
          <w:b/>
          <w:bCs/>
          <w:color w:val="000000"/>
          <w:kern w:val="2"/>
          <w:sz w:val="44"/>
          <w:szCs w:val="44"/>
          <w:shd w:val="clear" w:color="auto" w:fill="FFFFFF"/>
        </w:rPr>
        <w:t>质量报告</w:t>
      </w:r>
    </w:p>
    <w:p w14:paraId="47A7F8B0">
      <w:pPr>
        <w:pStyle w:val="17"/>
        <w:tabs>
          <w:tab w:val="left" w:pos="6223"/>
        </w:tabs>
        <w:spacing w:before="0" w:beforeAutospacing="0" w:after="0" w:afterAutospacing="0" w:line="580" w:lineRule="exact"/>
        <w:ind w:firstLine="2640" w:firstLineChars="600"/>
        <w:jc w:val="both"/>
        <w:outlineLvl w:val="9"/>
        <w:rPr>
          <w:rStyle w:val="22"/>
          <w:rFonts w:hint="eastAsia" w:ascii="微软雅黑" w:hAnsi="微软雅黑" w:eastAsia="微软雅黑" w:cs="微软雅黑"/>
          <w:b w:val="0"/>
          <w:bCs w:val="0"/>
          <w:color w:val="000000"/>
          <w:kern w:val="2"/>
          <w:sz w:val="44"/>
          <w:szCs w:val="44"/>
          <w:shd w:val="clear" w:color="auto" w:fill="FFFFFF"/>
        </w:rPr>
      </w:pPr>
      <w:r>
        <w:rPr>
          <w:rStyle w:val="22"/>
          <w:rFonts w:hint="eastAsia" w:ascii="微软雅黑" w:hAnsi="微软雅黑" w:eastAsia="微软雅黑" w:cs="微软雅黑"/>
          <w:b w:val="0"/>
          <w:bCs w:val="0"/>
          <w:color w:val="000000"/>
          <w:kern w:val="2"/>
          <w:sz w:val="44"/>
          <w:szCs w:val="44"/>
          <w:shd w:val="clear" w:color="auto" w:fill="FFFFFF"/>
        </w:rPr>
        <w:t>（202</w:t>
      </w:r>
      <w:r>
        <w:rPr>
          <w:rStyle w:val="22"/>
          <w:rFonts w:hint="eastAsia" w:ascii="微软雅黑" w:hAnsi="微软雅黑" w:eastAsia="微软雅黑" w:cs="微软雅黑"/>
          <w:b w:val="0"/>
          <w:bCs w:val="0"/>
          <w:color w:val="000000"/>
          <w:kern w:val="2"/>
          <w:sz w:val="44"/>
          <w:szCs w:val="44"/>
          <w:shd w:val="clear" w:color="auto" w:fill="FFFFFF"/>
          <w:lang w:val="en-US" w:eastAsia="zh-CN"/>
        </w:rPr>
        <w:t>5</w:t>
      </w:r>
      <w:r>
        <w:rPr>
          <w:rStyle w:val="22"/>
          <w:rFonts w:hint="eastAsia" w:ascii="微软雅黑" w:hAnsi="微软雅黑" w:eastAsia="微软雅黑" w:cs="微软雅黑"/>
          <w:b w:val="0"/>
          <w:bCs w:val="0"/>
          <w:color w:val="000000"/>
          <w:kern w:val="2"/>
          <w:sz w:val="44"/>
          <w:szCs w:val="44"/>
          <w:shd w:val="clear" w:color="auto" w:fill="FFFFFF"/>
        </w:rPr>
        <w:t>年度）</w:t>
      </w:r>
    </w:p>
    <w:p w14:paraId="78F1ACC1">
      <w:pPr>
        <w:pStyle w:val="17"/>
        <w:tabs>
          <w:tab w:val="left" w:pos="6223"/>
        </w:tabs>
        <w:spacing w:before="0" w:beforeAutospacing="0" w:after="0" w:afterAutospacing="0" w:line="580" w:lineRule="exact"/>
        <w:ind w:firstLine="3213" w:firstLineChars="1000"/>
        <w:jc w:val="both"/>
        <w:outlineLvl w:val="9"/>
        <w:rPr>
          <w:rFonts w:hint="eastAsia" w:ascii="黑体" w:hAnsi="黑体" w:eastAsia="黑体"/>
          <w:b/>
          <w:bCs/>
          <w:color w:val="000000"/>
          <w:sz w:val="32"/>
          <w:szCs w:val="32"/>
          <w:shd w:val="clear" w:color="auto" w:fill="FFFFFF"/>
        </w:rPr>
      </w:pPr>
    </w:p>
    <w:p w14:paraId="39BC2BE0">
      <w:pPr>
        <w:pStyle w:val="17"/>
        <w:tabs>
          <w:tab w:val="left" w:pos="6223"/>
        </w:tabs>
        <w:spacing w:before="0" w:beforeAutospacing="0" w:after="0" w:afterAutospacing="0" w:line="580" w:lineRule="exact"/>
        <w:jc w:val="both"/>
        <w:outlineLvl w:val="0"/>
        <w:rPr>
          <w:rFonts w:hint="eastAsia" w:ascii="黑体" w:hAnsi="黑体" w:eastAsia="黑体"/>
          <w:color w:val="000000"/>
          <w:sz w:val="32"/>
          <w:szCs w:val="32"/>
          <w:shd w:val="clear" w:color="auto" w:fill="FFFFFF"/>
          <w:lang w:eastAsia="zh-CN"/>
        </w:rPr>
      </w:pPr>
      <w:bookmarkStart w:id="0" w:name="_Toc17679"/>
      <w:r>
        <w:rPr>
          <w:rFonts w:hint="eastAsia" w:ascii="黑体" w:hAnsi="黑体" w:eastAsia="黑体"/>
          <w:b/>
          <w:bCs/>
          <w:color w:val="000000"/>
          <w:sz w:val="32"/>
          <w:szCs w:val="32"/>
          <w:shd w:val="clear" w:color="auto" w:fill="FFFFFF"/>
        </w:rPr>
        <w:t>前</w:t>
      </w:r>
      <w:r>
        <w:rPr>
          <w:rFonts w:hint="eastAsia" w:ascii="黑体" w:hAnsi="黑体" w:eastAsia="黑体"/>
          <w:b/>
          <w:bCs/>
          <w:color w:val="000000"/>
          <w:sz w:val="32"/>
          <w:szCs w:val="32"/>
          <w:shd w:val="clear" w:color="auto" w:fill="FFFFFF"/>
          <w:lang w:val="en-US" w:eastAsia="zh-CN"/>
        </w:rPr>
        <w:t xml:space="preserve"> </w:t>
      </w:r>
      <w:r>
        <w:rPr>
          <w:rFonts w:hint="eastAsia" w:ascii="黑体" w:hAnsi="黑体" w:eastAsia="黑体"/>
          <w:b/>
          <w:bCs/>
          <w:color w:val="000000"/>
          <w:sz w:val="32"/>
          <w:szCs w:val="32"/>
          <w:shd w:val="clear" w:color="auto" w:fill="FFFFFF"/>
        </w:rPr>
        <w:t>言</w:t>
      </w:r>
      <w:bookmarkEnd w:id="0"/>
    </w:p>
    <w:p w14:paraId="4AAE7C32">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福建省上杭职业中专学校年度质量报告（2025）》旨在系统总结2024-2025学年的办学实践与成效，回应国家及福建省关于职业教育高质量发展的新要求，向社会展示育人成果并接受监督，同时为学校未来改革与发展提供依据。本报告严格遵循编制规范，经学校专题部署、数据采集、多轮核验与修订后审定发布。</w:t>
      </w:r>
    </w:p>
    <w:p w14:paraId="65616106">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过去一学年，学校深入贯彻党的二十大精神、新修订的《职业教育法》及职业教育体系建设改革等国家政策，紧扣区域发展需求，办学事业呈现新的活力：</w:t>
      </w:r>
    </w:p>
    <w:p w14:paraId="549EDE84">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一是“双高”引领，体系建设稳步推进。在省级“双高”建设基础上，着力深化中高职衔接与职普融通实践，强化与福建技术师范学院等高校的合作，为学生成长构建更畅通的路径。</w:t>
      </w:r>
    </w:p>
    <w:p w14:paraId="59B787DF">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二是立德为先，育人底色更加鲜明。持续发挥“全国国防教育示范校”“省级文明校园”的示范作用，深化“三全育人”改革，将“厚德修身、精技立业”校训融入日常，培养学生良好品德与扎实技能。</w:t>
      </w:r>
    </w:p>
    <w:p w14:paraId="17F3A530">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三是教学革新，培养质量持续提升。推动信息技术与教学深度融合，升级数字校园应用。专业课程紧密对接产业，产教融合、实践教学环节不断强化。</w:t>
      </w:r>
    </w:p>
    <w:p w14:paraId="3340CC8C">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四是服务地方，贡献力度切实增强。主动对接闽西高质量发展需求，通过人才培养、技能培训、技术服务等方式助力乡村振兴与产业升级，社会服务规模与成效稳步扩大。</w:t>
      </w:r>
    </w:p>
    <w:p w14:paraId="3776EBAD">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五是治理优化，发展保障坚实有力。以党建为引领，完善内部治理结构，巩固“省级平安校园”建设成果，持续改善办学条件与师资队伍，为高质量发展筑牢基础。</w:t>
      </w:r>
    </w:p>
    <w:p w14:paraId="5A2515B8">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本报告将从学校概况、人才培养、服务贡献、文化传承、国际合作、产教融合、发展保障及未来挑战等方面，全面呈现学校本年度的探索与成果，如实反映办学质量与水平。</w:t>
      </w:r>
    </w:p>
    <w:p w14:paraId="4A09AAE0">
      <w:pPr>
        <w:outlineLvl w:val="9"/>
        <w:rPr>
          <w:rFonts w:hint="eastAsia" w:ascii="黑体" w:hAnsi="黑体" w:eastAsia="黑体" w:cs="宋体"/>
          <w:b/>
          <w:bCs/>
          <w:color w:val="000000"/>
          <w:kern w:val="0"/>
          <w:sz w:val="32"/>
          <w:szCs w:val="32"/>
          <w:shd w:val="clear" w:color="auto" w:fill="FFFFFF"/>
          <w:lang w:val="en-US" w:eastAsia="zh-CN" w:bidi="ar-SA"/>
        </w:rPr>
        <w:sectPr>
          <w:pgSz w:w="11906" w:h="16838"/>
          <w:pgMar w:top="1100" w:right="1800" w:bottom="1157" w:left="1800" w:header="851" w:footer="992" w:gutter="0"/>
          <w:cols w:space="425" w:num="1"/>
          <w:docGrid w:type="lines" w:linePitch="312" w:charSpace="0"/>
        </w:sectPr>
      </w:pPr>
    </w:p>
    <w:p w14:paraId="4C4BDF98">
      <w:pPr>
        <w:outlineLvl w:val="0"/>
        <w:rPr>
          <w:rFonts w:hint="eastAsia" w:ascii="黑体" w:hAnsi="黑体" w:eastAsia="黑体" w:cs="宋体"/>
          <w:b/>
          <w:bCs/>
          <w:color w:val="000000"/>
          <w:kern w:val="0"/>
          <w:sz w:val="32"/>
          <w:szCs w:val="32"/>
          <w:shd w:val="clear" w:color="auto" w:fill="FFFFFF"/>
          <w:lang w:val="en-US" w:eastAsia="zh-CN" w:bidi="ar-SA"/>
        </w:rPr>
      </w:pPr>
      <w:bookmarkStart w:id="1" w:name="_Toc14063"/>
      <w:r>
        <w:rPr>
          <w:rFonts w:hint="eastAsia" w:ascii="黑体" w:hAnsi="黑体" w:eastAsia="黑体" w:cs="宋体"/>
          <w:b/>
          <w:bCs/>
          <w:color w:val="000000"/>
          <w:kern w:val="0"/>
          <w:sz w:val="32"/>
          <w:szCs w:val="32"/>
          <w:shd w:val="clear" w:color="auto" w:fill="FFFFFF"/>
          <w:lang w:val="en-US" w:eastAsia="zh-CN" w:bidi="ar-SA"/>
        </w:rPr>
        <w:t>表目录</w:t>
      </w:r>
      <w:bookmarkEnd w:id="1"/>
    </w:p>
    <w:p w14:paraId="3C4961E9">
      <w:pPr>
        <w:pStyle w:val="15"/>
        <w:tabs>
          <w:tab w:val="right" w:leader="dot" w:pos="8306"/>
        </w:tabs>
        <w:rPr>
          <w:rFonts w:hint="eastAsia" w:ascii="仿宋" w:hAnsi="仿宋" w:eastAsia="仿宋" w:cs="仿宋"/>
          <w:sz w:val="24"/>
          <w:szCs w:val="24"/>
        </w:rPr>
      </w:pPr>
      <w:r>
        <w:rPr>
          <w:rFonts w:hint="eastAsia" w:ascii="仿宋" w:hAnsi="仿宋" w:eastAsia="仿宋" w:cs="仿宋"/>
          <w:b/>
          <w:bCs/>
          <w:color w:val="000000"/>
          <w:kern w:val="0"/>
          <w:sz w:val="24"/>
          <w:szCs w:val="24"/>
          <w:shd w:val="clear" w:color="auto" w:fill="FFFFFF"/>
          <w:lang w:val="en-US" w:eastAsia="zh-CN" w:bidi="ar-SA"/>
        </w:rPr>
        <w:fldChar w:fldCharType="begin"/>
      </w:r>
      <w:r>
        <w:rPr>
          <w:rFonts w:hint="eastAsia" w:ascii="仿宋" w:hAnsi="仿宋" w:eastAsia="仿宋" w:cs="仿宋"/>
          <w:b/>
          <w:bCs/>
          <w:color w:val="000000"/>
          <w:kern w:val="0"/>
          <w:sz w:val="24"/>
          <w:szCs w:val="24"/>
          <w:shd w:val="clear" w:color="auto" w:fill="FFFFFF"/>
          <w:lang w:val="en-US" w:eastAsia="zh-CN" w:bidi="ar-SA"/>
        </w:rPr>
        <w:instrText xml:space="preserve">TOC \t "表" \h \c "表"</w:instrText>
      </w:r>
      <w:r>
        <w:rPr>
          <w:rFonts w:hint="eastAsia" w:ascii="仿宋" w:hAnsi="仿宋" w:eastAsia="仿宋" w:cs="仿宋"/>
          <w:b/>
          <w:bCs/>
          <w:color w:val="000000"/>
          <w:kern w:val="0"/>
          <w:sz w:val="24"/>
          <w:szCs w:val="24"/>
          <w:shd w:val="clear" w:color="auto" w:fill="FFFFFF"/>
          <w:lang w:val="en-US" w:eastAsia="zh-CN" w:bidi="ar-SA"/>
        </w:rPr>
        <w:fldChar w:fldCharType="separate"/>
      </w: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_Toc26054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表1 2024-2025 学年教学改革核心指标变化表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_Toc26054 \h </w:instrText>
      </w:r>
      <w:r>
        <w:rPr>
          <w:rFonts w:hint="eastAsia" w:ascii="仿宋" w:hAnsi="仿宋" w:eastAsia="仿宋" w:cs="仿宋"/>
          <w:sz w:val="24"/>
          <w:szCs w:val="24"/>
        </w:rPr>
        <w:fldChar w:fldCharType="separate"/>
      </w:r>
      <w:r>
        <w:rPr>
          <w:rFonts w:hint="eastAsia" w:ascii="仿宋" w:hAnsi="仿宋" w:eastAsia="仿宋" w:cs="仿宋"/>
          <w:sz w:val="24"/>
          <w:szCs w:val="24"/>
        </w:rPr>
        <w:t>20</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2CFE9D6C">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_Toc26304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表2 上杭职专学校信息系统汇总表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_Toc26304 \h </w:instrText>
      </w:r>
      <w:r>
        <w:rPr>
          <w:rFonts w:hint="eastAsia" w:ascii="仿宋" w:hAnsi="仿宋" w:eastAsia="仿宋" w:cs="仿宋"/>
          <w:sz w:val="24"/>
          <w:szCs w:val="24"/>
        </w:rPr>
        <w:fldChar w:fldCharType="separate"/>
      </w:r>
      <w:r>
        <w:rPr>
          <w:rFonts w:hint="eastAsia" w:ascii="仿宋" w:hAnsi="仿宋" w:eastAsia="仿宋" w:cs="仿宋"/>
          <w:sz w:val="24"/>
          <w:szCs w:val="24"/>
        </w:rPr>
        <w:t>21</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1ED0C006">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_Toc17824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表3 上杭职专数字化建设汇总表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_Toc17824 \h </w:instrText>
      </w:r>
      <w:r>
        <w:rPr>
          <w:rFonts w:hint="eastAsia" w:ascii="仿宋" w:hAnsi="仿宋" w:eastAsia="仿宋" w:cs="仿宋"/>
          <w:sz w:val="24"/>
          <w:szCs w:val="24"/>
        </w:rPr>
        <w:fldChar w:fldCharType="separate"/>
      </w:r>
      <w:r>
        <w:rPr>
          <w:rFonts w:hint="eastAsia" w:ascii="仿宋" w:hAnsi="仿宋" w:eastAsia="仿宋" w:cs="仿宋"/>
          <w:sz w:val="24"/>
          <w:szCs w:val="24"/>
        </w:rPr>
        <w:t>23</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01BC8B93">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_Toc8580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表4 上杭职专师生信息素养提升表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_Toc8580 \h </w:instrText>
      </w:r>
      <w:r>
        <w:rPr>
          <w:rFonts w:hint="eastAsia" w:ascii="仿宋" w:hAnsi="仿宋" w:eastAsia="仿宋" w:cs="仿宋"/>
          <w:sz w:val="24"/>
          <w:szCs w:val="24"/>
        </w:rPr>
        <w:fldChar w:fldCharType="separate"/>
      </w:r>
      <w:r>
        <w:rPr>
          <w:rFonts w:hint="eastAsia" w:ascii="仿宋" w:hAnsi="仿宋" w:eastAsia="仿宋" w:cs="仿宋"/>
          <w:sz w:val="24"/>
          <w:szCs w:val="24"/>
        </w:rPr>
        <w:t>24</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30692B49">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_Toc2684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表5 2024-2025 学年各类课程开发情况一览表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_Toc2684 \h </w:instrText>
      </w:r>
      <w:r>
        <w:rPr>
          <w:rFonts w:hint="eastAsia" w:ascii="仿宋" w:hAnsi="仿宋" w:eastAsia="仿宋" w:cs="仿宋"/>
          <w:sz w:val="24"/>
          <w:szCs w:val="24"/>
        </w:rPr>
        <w:fldChar w:fldCharType="separate"/>
      </w:r>
      <w:r>
        <w:rPr>
          <w:rFonts w:hint="eastAsia" w:ascii="仿宋" w:hAnsi="仿宋" w:eastAsia="仿宋" w:cs="仿宋"/>
          <w:sz w:val="24"/>
          <w:szCs w:val="24"/>
        </w:rPr>
        <w:t>30</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0F2437CE">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_Toc26391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表6 2024--2025学年学生技能大赛获奖情况一览表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_Toc26391 \h </w:instrText>
      </w:r>
      <w:r>
        <w:rPr>
          <w:rFonts w:hint="eastAsia" w:ascii="仿宋" w:hAnsi="仿宋" w:eastAsia="仿宋" w:cs="仿宋"/>
          <w:sz w:val="24"/>
          <w:szCs w:val="24"/>
        </w:rPr>
        <w:fldChar w:fldCharType="separate"/>
      </w:r>
      <w:r>
        <w:rPr>
          <w:rFonts w:hint="eastAsia" w:ascii="仿宋" w:hAnsi="仿宋" w:eastAsia="仿宋" w:cs="仿宋"/>
          <w:sz w:val="24"/>
          <w:szCs w:val="24"/>
        </w:rPr>
        <w:t>31</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32290E57">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_Toc8816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表7 岗位培训考试计划表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_Toc8816 \h </w:instrText>
      </w:r>
      <w:r>
        <w:rPr>
          <w:rFonts w:hint="eastAsia" w:ascii="仿宋" w:hAnsi="仿宋" w:eastAsia="仿宋" w:cs="仿宋"/>
          <w:sz w:val="24"/>
          <w:szCs w:val="24"/>
        </w:rPr>
        <w:fldChar w:fldCharType="separate"/>
      </w:r>
      <w:r>
        <w:rPr>
          <w:rFonts w:hint="eastAsia" w:ascii="仿宋" w:hAnsi="仿宋" w:eastAsia="仿宋" w:cs="仿宋"/>
          <w:sz w:val="24"/>
          <w:szCs w:val="24"/>
        </w:rPr>
        <w:t>58</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14BF756D">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_Toc30169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表8 历年岗位培训数据汇总表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_Toc30169 \h </w:instrText>
      </w:r>
      <w:r>
        <w:rPr>
          <w:rFonts w:hint="eastAsia" w:ascii="仿宋" w:hAnsi="仿宋" w:eastAsia="仿宋" w:cs="仿宋"/>
          <w:sz w:val="24"/>
          <w:szCs w:val="24"/>
        </w:rPr>
        <w:fldChar w:fldCharType="separate"/>
      </w:r>
      <w:r>
        <w:rPr>
          <w:rFonts w:hint="eastAsia" w:ascii="仿宋" w:hAnsi="仿宋" w:eastAsia="仿宋" w:cs="仿宋"/>
          <w:sz w:val="24"/>
          <w:szCs w:val="24"/>
        </w:rPr>
        <w:t>60</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0D246E84">
      <w:pPr>
        <w:outlineLvl w:val="0"/>
        <w:rPr>
          <w:rFonts w:hint="eastAsia" w:ascii="黑体" w:hAnsi="黑体" w:eastAsia="黑体" w:cs="宋体"/>
          <w:b/>
          <w:bCs/>
          <w:color w:val="000000"/>
          <w:kern w:val="0"/>
          <w:sz w:val="32"/>
          <w:szCs w:val="32"/>
          <w:shd w:val="clear" w:color="auto" w:fill="FFFFFF"/>
          <w:lang w:val="en-US" w:eastAsia="zh-CN" w:bidi="ar-SA"/>
        </w:rPr>
      </w:pPr>
      <w:bookmarkStart w:id="2" w:name="_Toc31122"/>
      <w:r>
        <w:rPr>
          <w:rFonts w:hint="eastAsia" w:ascii="仿宋" w:hAnsi="仿宋" w:eastAsia="仿宋" w:cs="仿宋"/>
          <w:bCs/>
          <w:color w:val="000000"/>
          <w:kern w:val="0"/>
          <w:sz w:val="24"/>
          <w:szCs w:val="24"/>
          <w:shd w:val="clear" w:color="auto" w:fill="FFFFFF"/>
          <w:lang w:val="en-US" w:eastAsia="zh-CN" w:bidi="ar-SA"/>
        </w:rPr>
        <w:fldChar w:fldCharType="end"/>
      </w:r>
      <w:r>
        <w:rPr>
          <w:rFonts w:hint="eastAsia" w:ascii="黑体" w:hAnsi="黑体" w:eastAsia="黑体" w:cs="宋体"/>
          <w:b/>
          <w:bCs/>
          <w:color w:val="000000"/>
          <w:kern w:val="0"/>
          <w:sz w:val="32"/>
          <w:szCs w:val="32"/>
          <w:shd w:val="clear" w:color="auto" w:fill="FFFFFF"/>
          <w:lang w:val="en-US" w:eastAsia="zh-CN" w:bidi="ar-SA"/>
        </w:rPr>
        <w:t>图目录</w:t>
      </w:r>
      <w:bookmarkEnd w:id="2"/>
    </w:p>
    <w:p w14:paraId="5829C007">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TOC \t "图" \h \c "图"</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_Toc9322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图1《八闽英烈故事》第一辑首发式及内容展</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_Toc9322 \h </w:instrText>
      </w:r>
      <w:r>
        <w:rPr>
          <w:rFonts w:hint="eastAsia" w:ascii="仿宋" w:hAnsi="仿宋" w:eastAsia="仿宋" w:cs="仿宋"/>
          <w:sz w:val="24"/>
          <w:szCs w:val="24"/>
        </w:rPr>
        <w:fldChar w:fldCharType="separate"/>
      </w:r>
      <w:r>
        <w:rPr>
          <w:rFonts w:hint="eastAsia" w:ascii="仿宋" w:hAnsi="仿宋" w:eastAsia="仿宋" w:cs="仿宋"/>
          <w:sz w:val="24"/>
          <w:szCs w:val="24"/>
        </w:rPr>
        <w:t>11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3022C0D">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_Toc29883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 团委开展祭奠英烈活动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_Toc29883 \h </w:instrText>
      </w:r>
      <w:r>
        <w:rPr>
          <w:rFonts w:hint="eastAsia" w:ascii="仿宋" w:hAnsi="仿宋" w:eastAsia="仿宋" w:cs="仿宋"/>
          <w:sz w:val="24"/>
          <w:szCs w:val="24"/>
        </w:rPr>
        <w:fldChar w:fldCharType="separate"/>
      </w:r>
      <w:r>
        <w:rPr>
          <w:rFonts w:hint="eastAsia" w:ascii="仿宋" w:hAnsi="仿宋" w:eastAsia="仿宋" w:cs="仿宋"/>
          <w:sz w:val="24"/>
          <w:szCs w:val="24"/>
        </w:rPr>
        <w:t>11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600E79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_Toc1965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 征兵宣传活动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_Toc1965 \h </w:instrText>
      </w:r>
      <w:r>
        <w:rPr>
          <w:rFonts w:hint="eastAsia" w:ascii="仿宋" w:hAnsi="仿宋" w:eastAsia="仿宋" w:cs="仿宋"/>
          <w:sz w:val="24"/>
          <w:szCs w:val="24"/>
        </w:rPr>
        <w:fldChar w:fldCharType="separate"/>
      </w:r>
      <w:r>
        <w:rPr>
          <w:rFonts w:hint="eastAsia" w:ascii="仿宋" w:hAnsi="仿宋" w:eastAsia="仿宋" w:cs="仿宋"/>
          <w:sz w:val="24"/>
          <w:szCs w:val="24"/>
        </w:rPr>
        <w:t>12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FB7E2ED">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_Toc31323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 2024年10月上杭县关工委在我校开展德育报告会</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_Toc31323 \h </w:instrText>
      </w:r>
      <w:r>
        <w:rPr>
          <w:rFonts w:hint="eastAsia" w:ascii="仿宋" w:hAnsi="仿宋" w:eastAsia="仿宋" w:cs="仿宋"/>
          <w:sz w:val="24"/>
          <w:szCs w:val="24"/>
        </w:rPr>
        <w:fldChar w:fldCharType="separate"/>
      </w:r>
      <w:r>
        <w:rPr>
          <w:rFonts w:hint="eastAsia" w:ascii="仿宋" w:hAnsi="仿宋" w:eastAsia="仿宋" w:cs="仿宋"/>
          <w:sz w:val="24"/>
          <w:szCs w:val="24"/>
        </w:rPr>
        <w:t>12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EDB4783">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_Toc14901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 2025年5月组织学生观看《志愿军三》电影活动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_Toc14901 \h </w:instrText>
      </w:r>
      <w:r>
        <w:rPr>
          <w:rFonts w:hint="eastAsia" w:ascii="仿宋" w:hAnsi="仿宋" w:eastAsia="仿宋" w:cs="仿宋"/>
          <w:sz w:val="24"/>
          <w:szCs w:val="24"/>
        </w:rPr>
        <w:fldChar w:fldCharType="separate"/>
      </w:r>
      <w:r>
        <w:rPr>
          <w:rFonts w:hint="eastAsia" w:ascii="仿宋" w:hAnsi="仿宋" w:eastAsia="仿宋" w:cs="仿宋"/>
          <w:sz w:val="24"/>
          <w:szCs w:val="24"/>
        </w:rPr>
        <w:t>13</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BA24BB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_Toc9128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图6 2025年福建省百场社会科学专题报告会</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_Toc9128 \h </w:instrText>
      </w:r>
      <w:r>
        <w:rPr>
          <w:rFonts w:hint="eastAsia" w:ascii="仿宋" w:hAnsi="仿宋" w:eastAsia="仿宋" w:cs="仿宋"/>
          <w:sz w:val="24"/>
          <w:szCs w:val="24"/>
        </w:rPr>
        <w:fldChar w:fldCharType="separate"/>
      </w:r>
      <w:r>
        <w:rPr>
          <w:rFonts w:hint="eastAsia" w:ascii="仿宋" w:hAnsi="仿宋" w:eastAsia="仿宋" w:cs="仿宋"/>
          <w:sz w:val="24"/>
          <w:szCs w:val="24"/>
        </w:rPr>
        <w:t>13</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4592788">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_Toc23095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图7 政治处组织学生参观伍洪祥故居</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_Toc23095 \h </w:instrText>
      </w:r>
      <w:r>
        <w:rPr>
          <w:rFonts w:hint="eastAsia" w:ascii="仿宋" w:hAnsi="仿宋" w:eastAsia="仿宋" w:cs="仿宋"/>
          <w:sz w:val="24"/>
          <w:szCs w:val="24"/>
        </w:rPr>
        <w:fldChar w:fldCharType="separate"/>
      </w:r>
      <w:r>
        <w:rPr>
          <w:rFonts w:hint="eastAsia" w:ascii="仿宋" w:hAnsi="仿宋" w:eastAsia="仿宋" w:cs="仿宋"/>
          <w:sz w:val="24"/>
          <w:szCs w:val="24"/>
        </w:rPr>
        <w:t>14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54DF4F9">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_Toc21508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图8 我校学生蒋雅琪获2024-2025学年度“著名苏区好学生”奖状</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_Toc21508 \h </w:instrText>
      </w:r>
      <w:r>
        <w:rPr>
          <w:rFonts w:hint="eastAsia" w:ascii="仿宋" w:hAnsi="仿宋" w:eastAsia="仿宋" w:cs="仿宋"/>
          <w:sz w:val="24"/>
          <w:szCs w:val="24"/>
        </w:rPr>
        <w:fldChar w:fldCharType="separate"/>
      </w:r>
      <w:r>
        <w:rPr>
          <w:rFonts w:hint="eastAsia" w:ascii="仿宋" w:hAnsi="仿宋" w:eastAsia="仿宋" w:cs="仿宋"/>
          <w:sz w:val="24"/>
          <w:szCs w:val="24"/>
        </w:rPr>
        <w:t>14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3F6400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_Toc27554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图9 2025年3月团委组织学生志愿植树活动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_Toc27554 \h </w:instrText>
      </w:r>
      <w:r>
        <w:rPr>
          <w:rFonts w:hint="eastAsia" w:ascii="仿宋" w:hAnsi="仿宋" w:eastAsia="仿宋" w:cs="仿宋"/>
          <w:sz w:val="24"/>
          <w:szCs w:val="24"/>
        </w:rPr>
        <w:fldChar w:fldCharType="separate"/>
      </w:r>
      <w:r>
        <w:rPr>
          <w:rFonts w:hint="eastAsia" w:ascii="仿宋" w:hAnsi="仿宋" w:eastAsia="仿宋" w:cs="仿宋"/>
          <w:sz w:val="24"/>
          <w:szCs w:val="24"/>
        </w:rPr>
        <w:t>15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F7ABE8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_Toc15717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图10 参加中华经典诵写讲比赛获奖证书</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_Toc15717 \h </w:instrText>
      </w:r>
      <w:r>
        <w:rPr>
          <w:rFonts w:hint="eastAsia" w:ascii="仿宋" w:hAnsi="仿宋" w:eastAsia="仿宋" w:cs="仿宋"/>
          <w:sz w:val="24"/>
          <w:szCs w:val="24"/>
        </w:rPr>
        <w:fldChar w:fldCharType="separate"/>
      </w:r>
      <w:r>
        <w:rPr>
          <w:rFonts w:hint="eastAsia" w:ascii="仿宋" w:hAnsi="仿宋" w:eastAsia="仿宋" w:cs="仿宋"/>
          <w:sz w:val="24"/>
          <w:szCs w:val="24"/>
        </w:rPr>
        <w:t>15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CA7FFC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_Toc18228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图11 2024年秋季新生入学军训</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_Toc18228 \h </w:instrText>
      </w:r>
      <w:r>
        <w:rPr>
          <w:rFonts w:hint="eastAsia" w:ascii="仿宋" w:hAnsi="仿宋" w:eastAsia="仿宋" w:cs="仿宋"/>
          <w:sz w:val="24"/>
          <w:szCs w:val="24"/>
        </w:rPr>
        <w:fldChar w:fldCharType="separate"/>
      </w:r>
      <w:r>
        <w:rPr>
          <w:rFonts w:hint="eastAsia" w:ascii="仿宋" w:hAnsi="仿宋" w:eastAsia="仿宋" w:cs="仿宋"/>
          <w:sz w:val="24"/>
          <w:szCs w:val="24"/>
        </w:rPr>
        <w:t>16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F9D670F">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_Toc4529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图12 2024年10月建筑工程系学生重走红军路活动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_Toc4529 \h </w:instrText>
      </w:r>
      <w:r>
        <w:rPr>
          <w:rFonts w:hint="eastAsia" w:ascii="仿宋" w:hAnsi="仿宋" w:eastAsia="仿宋" w:cs="仿宋"/>
          <w:sz w:val="24"/>
          <w:szCs w:val="24"/>
        </w:rPr>
        <w:fldChar w:fldCharType="separate"/>
      </w:r>
      <w:r>
        <w:rPr>
          <w:rFonts w:hint="eastAsia" w:ascii="仿宋" w:hAnsi="仿宋" w:eastAsia="仿宋" w:cs="仿宋"/>
          <w:sz w:val="24"/>
          <w:szCs w:val="24"/>
        </w:rPr>
        <w:t>16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C4592E6">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_Toc2798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图13 学生宿舍刷脸查寝</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_Toc2798 \h </w:instrText>
      </w:r>
      <w:r>
        <w:rPr>
          <w:rFonts w:hint="eastAsia" w:ascii="仿宋" w:hAnsi="仿宋" w:eastAsia="仿宋" w:cs="仿宋"/>
          <w:sz w:val="24"/>
          <w:szCs w:val="24"/>
        </w:rPr>
        <w:fldChar w:fldCharType="separate"/>
      </w:r>
      <w:r>
        <w:rPr>
          <w:rFonts w:hint="eastAsia" w:ascii="仿宋" w:hAnsi="仿宋" w:eastAsia="仿宋" w:cs="仿宋"/>
          <w:sz w:val="24"/>
          <w:szCs w:val="24"/>
        </w:rPr>
        <w:t>22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8E9C12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_Toc9163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图14 上网行为情况统计</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_Toc9163 \h </w:instrText>
      </w:r>
      <w:r>
        <w:rPr>
          <w:rFonts w:hint="eastAsia" w:ascii="仿宋" w:hAnsi="仿宋" w:eastAsia="仿宋" w:cs="仿宋"/>
          <w:sz w:val="24"/>
          <w:szCs w:val="24"/>
        </w:rPr>
        <w:fldChar w:fldCharType="separate"/>
      </w:r>
      <w:r>
        <w:rPr>
          <w:rFonts w:hint="eastAsia" w:ascii="仿宋" w:hAnsi="仿宋" w:eastAsia="仿宋" w:cs="仿宋"/>
          <w:sz w:val="24"/>
          <w:szCs w:val="24"/>
        </w:rPr>
        <w:t>22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989C3B6">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_Toc24424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图15 上网行为审计</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_Toc24424 \h </w:instrText>
      </w:r>
      <w:r>
        <w:rPr>
          <w:rFonts w:hint="eastAsia" w:ascii="仿宋" w:hAnsi="仿宋" w:eastAsia="仿宋" w:cs="仿宋"/>
          <w:sz w:val="24"/>
          <w:szCs w:val="24"/>
        </w:rPr>
        <w:fldChar w:fldCharType="separate"/>
      </w:r>
      <w:r>
        <w:rPr>
          <w:rFonts w:hint="eastAsia" w:ascii="仿宋" w:hAnsi="仿宋" w:eastAsia="仿宋" w:cs="仿宋"/>
          <w:sz w:val="24"/>
          <w:szCs w:val="24"/>
        </w:rPr>
        <w:t>23</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CC60DD0">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_Toc7717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图16 校园5G网络和WiFi全覆盖拓扑图</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_Toc7717 \h </w:instrText>
      </w:r>
      <w:r>
        <w:rPr>
          <w:rFonts w:hint="eastAsia" w:ascii="仿宋" w:hAnsi="仿宋" w:eastAsia="仿宋" w:cs="仿宋"/>
          <w:sz w:val="24"/>
          <w:szCs w:val="24"/>
        </w:rPr>
        <w:fldChar w:fldCharType="separate"/>
      </w:r>
      <w:r>
        <w:rPr>
          <w:rFonts w:hint="eastAsia" w:ascii="仿宋" w:hAnsi="仿宋" w:eastAsia="仿宋" w:cs="仿宋"/>
          <w:sz w:val="24"/>
          <w:szCs w:val="24"/>
        </w:rPr>
        <w:t>24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99C3C27">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_Toc16541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图17 智慧校园平台</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_Toc16541 \h </w:instrText>
      </w:r>
      <w:r>
        <w:rPr>
          <w:rFonts w:hint="eastAsia" w:ascii="仿宋" w:hAnsi="仿宋" w:eastAsia="仿宋" w:cs="仿宋"/>
          <w:sz w:val="24"/>
          <w:szCs w:val="24"/>
        </w:rPr>
        <w:fldChar w:fldCharType="separate"/>
      </w:r>
      <w:r>
        <w:rPr>
          <w:rFonts w:hint="eastAsia" w:ascii="仿宋" w:hAnsi="仿宋" w:eastAsia="仿宋" w:cs="仿宋"/>
          <w:sz w:val="24"/>
          <w:szCs w:val="24"/>
        </w:rPr>
        <w:t>24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ABB36B2">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_Toc25308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图18 学生参与福建省职业院校技能大赛获奖合影</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_Toc25308 \h </w:instrText>
      </w:r>
      <w:r>
        <w:rPr>
          <w:rFonts w:hint="eastAsia" w:ascii="仿宋" w:hAnsi="仿宋" w:eastAsia="仿宋" w:cs="仿宋"/>
          <w:sz w:val="24"/>
          <w:szCs w:val="24"/>
        </w:rPr>
        <w:fldChar w:fldCharType="separate"/>
      </w:r>
      <w:r>
        <w:rPr>
          <w:rFonts w:hint="eastAsia" w:ascii="仿宋" w:hAnsi="仿宋" w:eastAsia="仿宋" w:cs="仿宋"/>
          <w:sz w:val="24"/>
          <w:szCs w:val="24"/>
        </w:rPr>
        <w:t>25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3D19A2C">
      <w:pPr>
        <w:pStyle w:val="15"/>
        <w:tabs>
          <w:tab w:val="right" w:leader="dot" w:pos="8306"/>
        </w:tabs>
        <w:ind w:left="1140" w:hanging="720" w:hangingChars="300"/>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_Toc11801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图19 一等奖（3个）：装配式建筑构件安装、建筑信息模型建模、水利工程制图与应用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_Toc11801 \h </w:instrText>
      </w:r>
      <w:r>
        <w:rPr>
          <w:rFonts w:hint="eastAsia" w:ascii="仿宋" w:hAnsi="仿宋" w:eastAsia="仿宋" w:cs="仿宋"/>
          <w:sz w:val="24"/>
          <w:szCs w:val="24"/>
        </w:rPr>
        <w:fldChar w:fldCharType="separate"/>
      </w:r>
      <w:r>
        <w:rPr>
          <w:rFonts w:hint="eastAsia" w:ascii="仿宋" w:hAnsi="仿宋" w:eastAsia="仿宋" w:cs="仿宋"/>
          <w:sz w:val="24"/>
          <w:szCs w:val="24"/>
        </w:rPr>
        <w:t>31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AD3F62F">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_Toc2465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图20 二等奖（2个）：工程测量、水利工程制图与应用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_Toc2465 \h </w:instrText>
      </w:r>
      <w:r>
        <w:rPr>
          <w:rFonts w:hint="eastAsia" w:ascii="仿宋" w:hAnsi="仿宋" w:eastAsia="仿宋" w:cs="仿宋"/>
          <w:sz w:val="24"/>
          <w:szCs w:val="24"/>
        </w:rPr>
        <w:fldChar w:fldCharType="separate"/>
      </w:r>
      <w:r>
        <w:rPr>
          <w:rFonts w:hint="eastAsia" w:ascii="仿宋" w:hAnsi="仿宋" w:eastAsia="仿宋" w:cs="仿宋"/>
          <w:sz w:val="24"/>
          <w:szCs w:val="24"/>
        </w:rPr>
        <w:t>31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6EB9961">
      <w:pPr>
        <w:pStyle w:val="15"/>
        <w:tabs>
          <w:tab w:val="right" w:leader="dot" w:pos="8306"/>
        </w:tabs>
        <w:ind w:left="1140" w:hanging="720" w:hangingChars="300"/>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_Toc1470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图21 三等奖（4个）：园林微景观设计与制作、护理技能、康复技术、新能源汽车维修</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_Toc1470 \h </w:instrText>
      </w:r>
      <w:r>
        <w:rPr>
          <w:rFonts w:hint="eastAsia" w:ascii="仿宋" w:hAnsi="仿宋" w:eastAsia="仿宋" w:cs="仿宋"/>
          <w:sz w:val="24"/>
          <w:szCs w:val="24"/>
        </w:rPr>
        <w:fldChar w:fldCharType="separate"/>
      </w:r>
      <w:r>
        <w:rPr>
          <w:rFonts w:hint="eastAsia" w:ascii="仿宋" w:hAnsi="仿宋" w:eastAsia="仿宋" w:cs="仿宋"/>
          <w:sz w:val="24"/>
          <w:szCs w:val="24"/>
        </w:rPr>
        <w:t>32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9F337B8">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_Toc20988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图22 龙岩市装备制造产教融合体成立大会</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_Toc20988 \h </w:instrText>
      </w:r>
      <w:r>
        <w:rPr>
          <w:rFonts w:hint="eastAsia" w:ascii="仿宋" w:hAnsi="仿宋" w:eastAsia="仿宋" w:cs="仿宋"/>
          <w:sz w:val="24"/>
          <w:szCs w:val="24"/>
        </w:rPr>
        <w:fldChar w:fldCharType="separate"/>
      </w:r>
      <w:r>
        <w:rPr>
          <w:rFonts w:hint="eastAsia" w:ascii="仿宋" w:hAnsi="仿宋" w:eastAsia="仿宋" w:cs="仿宋"/>
          <w:sz w:val="24"/>
          <w:szCs w:val="24"/>
        </w:rPr>
        <w:t>36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E8697CB">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_Toc9585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图23 学校成为全国海丝跨境电商产教融合共同体第一届理事单位</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_Toc9585 \h </w:instrText>
      </w:r>
      <w:r>
        <w:rPr>
          <w:rFonts w:hint="eastAsia" w:ascii="仿宋" w:hAnsi="仿宋" w:eastAsia="仿宋" w:cs="仿宋"/>
          <w:sz w:val="24"/>
          <w:szCs w:val="24"/>
        </w:rPr>
        <w:fldChar w:fldCharType="separate"/>
      </w:r>
      <w:r>
        <w:rPr>
          <w:rFonts w:hint="eastAsia" w:ascii="仿宋" w:hAnsi="仿宋" w:eastAsia="仿宋" w:cs="仿宋"/>
          <w:sz w:val="24"/>
          <w:szCs w:val="24"/>
        </w:rPr>
        <w:t>37</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FFD69EC">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_Toc21684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图24 校企共建“产业学院”</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_Toc21684 \h </w:instrText>
      </w:r>
      <w:r>
        <w:rPr>
          <w:rFonts w:hint="eastAsia" w:ascii="仿宋" w:hAnsi="仿宋" w:eastAsia="仿宋" w:cs="仿宋"/>
          <w:sz w:val="24"/>
          <w:szCs w:val="24"/>
        </w:rPr>
        <w:fldChar w:fldCharType="separate"/>
      </w:r>
      <w:r>
        <w:rPr>
          <w:rFonts w:hint="eastAsia" w:ascii="仿宋" w:hAnsi="仿宋" w:eastAsia="仿宋" w:cs="仿宋"/>
          <w:sz w:val="24"/>
          <w:szCs w:val="24"/>
        </w:rPr>
        <w:t>38</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7CFB22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_Toc4976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图25  2023年获评福建省高水平产教融合实训基地</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_Toc4976 \h </w:instrText>
      </w:r>
      <w:r>
        <w:rPr>
          <w:rFonts w:hint="eastAsia" w:ascii="仿宋" w:hAnsi="仿宋" w:eastAsia="仿宋" w:cs="仿宋"/>
          <w:sz w:val="24"/>
          <w:szCs w:val="24"/>
        </w:rPr>
        <w:fldChar w:fldCharType="separate"/>
      </w:r>
      <w:r>
        <w:rPr>
          <w:rFonts w:hint="eastAsia" w:ascii="仿宋" w:hAnsi="仿宋" w:eastAsia="仿宋" w:cs="仿宋"/>
          <w:sz w:val="24"/>
          <w:szCs w:val="24"/>
        </w:rPr>
        <w:t>39</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4DD5EA9">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_Toc21854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图26 上杭县兴杭汽修维修站</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_Toc21854 \h </w:instrText>
      </w:r>
      <w:r>
        <w:rPr>
          <w:rFonts w:hint="eastAsia" w:ascii="仿宋" w:hAnsi="仿宋" w:eastAsia="仿宋" w:cs="仿宋"/>
          <w:sz w:val="24"/>
          <w:szCs w:val="24"/>
        </w:rPr>
        <w:fldChar w:fldCharType="separate"/>
      </w:r>
      <w:r>
        <w:rPr>
          <w:rFonts w:hint="eastAsia" w:ascii="仿宋" w:hAnsi="仿宋" w:eastAsia="仿宋" w:cs="仿宋"/>
          <w:sz w:val="24"/>
          <w:szCs w:val="24"/>
        </w:rPr>
        <w:t>40</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75321F7">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_Toc10788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图27 该基地被确定为省级职业教育示范性虚拟仿真实训基地</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_Toc10788 \h </w:instrText>
      </w:r>
      <w:r>
        <w:rPr>
          <w:rFonts w:hint="eastAsia" w:ascii="仿宋" w:hAnsi="仿宋" w:eastAsia="仿宋" w:cs="仿宋"/>
          <w:sz w:val="24"/>
          <w:szCs w:val="24"/>
        </w:rPr>
        <w:fldChar w:fldCharType="separate"/>
      </w:r>
      <w:r>
        <w:rPr>
          <w:rFonts w:hint="eastAsia" w:ascii="仿宋" w:hAnsi="仿宋" w:eastAsia="仿宋" w:cs="仿宋"/>
          <w:sz w:val="24"/>
          <w:szCs w:val="24"/>
        </w:rPr>
        <w:t>41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024D4D9">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_Toc27557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图28 上杭县建筑人才培训中心</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_Toc27557 \h </w:instrText>
      </w:r>
      <w:r>
        <w:rPr>
          <w:rFonts w:hint="eastAsia" w:ascii="仿宋" w:hAnsi="仿宋" w:eastAsia="仿宋" w:cs="仿宋"/>
          <w:sz w:val="24"/>
          <w:szCs w:val="24"/>
        </w:rPr>
        <w:fldChar w:fldCharType="separate"/>
      </w:r>
      <w:r>
        <w:rPr>
          <w:rFonts w:hint="eastAsia" w:ascii="仿宋" w:hAnsi="仿宋" w:eastAsia="仿宋" w:cs="仿宋"/>
          <w:sz w:val="24"/>
          <w:szCs w:val="24"/>
        </w:rPr>
        <w:t>42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7CB135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_Toc21436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图29 生产性实训基地</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_Toc21436 \h </w:instrText>
      </w:r>
      <w:r>
        <w:rPr>
          <w:rFonts w:hint="eastAsia" w:ascii="仿宋" w:hAnsi="仿宋" w:eastAsia="仿宋" w:cs="仿宋"/>
          <w:sz w:val="24"/>
          <w:szCs w:val="24"/>
        </w:rPr>
        <w:fldChar w:fldCharType="separate"/>
      </w:r>
      <w:r>
        <w:rPr>
          <w:rFonts w:hint="eastAsia" w:ascii="仿宋" w:hAnsi="仿宋" w:eastAsia="仿宋" w:cs="仿宋"/>
          <w:sz w:val="24"/>
          <w:szCs w:val="24"/>
        </w:rPr>
        <w:t>44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DF7519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_Toc595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图30 才建集团建筑产业学院牌匾</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_Toc595 \h </w:instrText>
      </w:r>
      <w:r>
        <w:rPr>
          <w:rFonts w:hint="eastAsia" w:ascii="仿宋" w:hAnsi="仿宋" w:eastAsia="仿宋" w:cs="仿宋"/>
          <w:sz w:val="24"/>
          <w:szCs w:val="24"/>
        </w:rPr>
        <w:fldChar w:fldCharType="separate"/>
      </w:r>
      <w:r>
        <w:rPr>
          <w:rFonts w:hint="eastAsia" w:ascii="仿宋" w:hAnsi="仿宋" w:eastAsia="仿宋" w:cs="仿宋"/>
          <w:sz w:val="24"/>
          <w:szCs w:val="24"/>
        </w:rPr>
        <w:t>45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5DB416E">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_Toc24358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图31 建筑专业教师为企业培养人才、并指导生产</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_Toc24358 \h </w:instrText>
      </w:r>
      <w:r>
        <w:rPr>
          <w:rFonts w:hint="eastAsia" w:ascii="仿宋" w:hAnsi="仿宋" w:eastAsia="仿宋" w:cs="仿宋"/>
          <w:sz w:val="24"/>
          <w:szCs w:val="24"/>
        </w:rPr>
        <w:fldChar w:fldCharType="separate"/>
      </w:r>
      <w:r>
        <w:rPr>
          <w:rFonts w:hint="eastAsia" w:ascii="仿宋" w:hAnsi="仿宋" w:eastAsia="仿宋" w:cs="仿宋"/>
          <w:sz w:val="24"/>
          <w:szCs w:val="24"/>
        </w:rPr>
        <w:t>46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09725FA">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_Toc11183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图32 企业专家为学校指导学生技能大赛、讲授专业知识</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_Toc11183 \h </w:instrText>
      </w:r>
      <w:r>
        <w:rPr>
          <w:rFonts w:hint="eastAsia" w:ascii="仿宋" w:hAnsi="仿宋" w:eastAsia="仿宋" w:cs="仿宋"/>
          <w:sz w:val="24"/>
          <w:szCs w:val="24"/>
        </w:rPr>
        <w:fldChar w:fldCharType="separate"/>
      </w:r>
      <w:r>
        <w:rPr>
          <w:rFonts w:hint="eastAsia" w:ascii="仿宋" w:hAnsi="仿宋" w:eastAsia="仿宋" w:cs="仿宋"/>
          <w:sz w:val="24"/>
          <w:szCs w:val="24"/>
        </w:rPr>
        <w:t>46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7E78179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_Toc30958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图33 校企合作年会</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_Toc30958 \h </w:instrText>
      </w:r>
      <w:r>
        <w:rPr>
          <w:rFonts w:hint="eastAsia" w:ascii="仿宋" w:hAnsi="仿宋" w:eastAsia="仿宋" w:cs="仿宋"/>
          <w:sz w:val="24"/>
          <w:szCs w:val="24"/>
        </w:rPr>
        <w:fldChar w:fldCharType="separate"/>
      </w:r>
      <w:r>
        <w:rPr>
          <w:rFonts w:hint="eastAsia" w:ascii="仿宋" w:hAnsi="仿宋" w:eastAsia="仿宋" w:cs="仿宋"/>
          <w:sz w:val="24"/>
          <w:szCs w:val="24"/>
        </w:rPr>
        <w:t>47</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629518D">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_Toc23777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图34 名师工作室</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_Toc23777 \h </w:instrText>
      </w:r>
      <w:r>
        <w:rPr>
          <w:rFonts w:hint="eastAsia" w:ascii="仿宋" w:hAnsi="仿宋" w:eastAsia="仿宋" w:cs="仿宋"/>
          <w:sz w:val="24"/>
          <w:szCs w:val="24"/>
        </w:rPr>
        <w:fldChar w:fldCharType="separate"/>
      </w:r>
      <w:r>
        <w:rPr>
          <w:rFonts w:hint="eastAsia" w:ascii="仿宋" w:hAnsi="仿宋" w:eastAsia="仿宋" w:cs="仿宋"/>
          <w:sz w:val="24"/>
          <w:szCs w:val="24"/>
        </w:rPr>
        <w:t>50</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7EE99F00">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_Toc20117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图35 我校教师被企业聘为高级技术顾问</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_Toc20117 \h </w:instrText>
      </w:r>
      <w:r>
        <w:rPr>
          <w:rFonts w:hint="eastAsia" w:ascii="仿宋" w:hAnsi="仿宋" w:eastAsia="仿宋" w:cs="仿宋"/>
          <w:sz w:val="24"/>
          <w:szCs w:val="24"/>
        </w:rPr>
        <w:fldChar w:fldCharType="separate"/>
      </w:r>
      <w:r>
        <w:rPr>
          <w:rFonts w:hint="eastAsia" w:ascii="仿宋" w:hAnsi="仿宋" w:eastAsia="仿宋" w:cs="仿宋"/>
          <w:sz w:val="24"/>
          <w:szCs w:val="24"/>
        </w:rPr>
        <w:t>51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B79971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_Toc22077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图36 构建虚实融合的教学生态</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_Toc22077 \h </w:instrText>
      </w:r>
      <w:r>
        <w:rPr>
          <w:rFonts w:hint="eastAsia" w:ascii="仿宋" w:hAnsi="仿宋" w:eastAsia="仿宋" w:cs="仿宋"/>
          <w:sz w:val="24"/>
          <w:szCs w:val="24"/>
        </w:rPr>
        <w:fldChar w:fldCharType="separate"/>
      </w:r>
      <w:r>
        <w:rPr>
          <w:rFonts w:hint="eastAsia" w:ascii="仿宋" w:hAnsi="仿宋" w:eastAsia="仿宋" w:cs="仿宋"/>
          <w:sz w:val="24"/>
          <w:szCs w:val="24"/>
        </w:rPr>
        <w:t>52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BD75069">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_Toc18601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图37 电子商务技能培训现场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_Toc18601 \h </w:instrText>
      </w:r>
      <w:r>
        <w:rPr>
          <w:rFonts w:hint="eastAsia" w:ascii="仿宋" w:hAnsi="仿宋" w:eastAsia="仿宋" w:cs="仿宋"/>
          <w:sz w:val="24"/>
          <w:szCs w:val="24"/>
        </w:rPr>
        <w:fldChar w:fldCharType="separate"/>
      </w:r>
      <w:r>
        <w:rPr>
          <w:rFonts w:hint="eastAsia" w:ascii="仿宋" w:hAnsi="仿宋" w:eastAsia="仿宋" w:cs="仿宋"/>
          <w:sz w:val="24"/>
          <w:szCs w:val="24"/>
        </w:rPr>
        <w:t>55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5DDD21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_Toc13866 </w:instrText>
      </w:r>
      <w:r>
        <w:rPr>
          <w:rFonts w:hint="eastAsia" w:ascii="仿宋" w:hAnsi="仿宋" w:eastAsia="仿宋" w:cs="仿宋"/>
          <w:sz w:val="24"/>
          <w:szCs w:val="24"/>
          <w:lang w:val="en-US" w:eastAsia="zh-CN"/>
        </w:rPr>
        <w:fldChar w:fldCharType="separate"/>
      </w:r>
      <w:r>
        <w:rPr>
          <w:rFonts w:hint="eastAsia" w:ascii="仿宋" w:hAnsi="仿宋" w:eastAsia="仿宋" w:cs="仿宋"/>
          <w:kern w:val="2"/>
          <w:sz w:val="24"/>
          <w:szCs w:val="24"/>
          <w:lang w:val="en-US" w:eastAsia="zh-CN" w:bidi="ar-SA"/>
        </w:rPr>
        <w:t>图38 实操现场01</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_Toc13866 \h </w:instrText>
      </w:r>
      <w:r>
        <w:rPr>
          <w:rFonts w:hint="eastAsia" w:ascii="仿宋" w:hAnsi="仿宋" w:eastAsia="仿宋" w:cs="仿宋"/>
          <w:sz w:val="24"/>
          <w:szCs w:val="24"/>
        </w:rPr>
        <w:fldChar w:fldCharType="separate"/>
      </w:r>
      <w:r>
        <w:rPr>
          <w:rFonts w:hint="eastAsia" w:ascii="仿宋" w:hAnsi="仿宋" w:eastAsia="仿宋" w:cs="仿宋"/>
          <w:sz w:val="24"/>
          <w:szCs w:val="24"/>
        </w:rPr>
        <w:t>58</w:t>
      </w:r>
      <w:r>
        <w:rPr>
          <w:rFonts w:hint="eastAsia" w:ascii="仿宋" w:hAnsi="仿宋" w:eastAsia="仿宋" w:cs="仿宋"/>
          <w:sz w:val="24"/>
          <w:szCs w:val="24"/>
        </w:rPr>
        <w:fldChar w:fldCharType="end"/>
      </w:r>
    </w:p>
    <w:p w14:paraId="2E65F5F3">
      <w:pPr>
        <w:pStyle w:val="15"/>
        <w:tabs>
          <w:tab w:val="right" w:leader="dot" w:pos="8306"/>
        </w:tabs>
        <w:rPr>
          <w:rFonts w:hint="eastAsia" w:ascii="仿宋" w:hAnsi="仿宋" w:eastAsia="仿宋" w:cs="仿宋"/>
          <w:sz w:val="24"/>
          <w:szCs w:val="24"/>
        </w:rPr>
      </w:pPr>
      <w:r>
        <w:rPr>
          <w:rFonts w:hint="eastAsia" w:ascii="仿宋" w:hAnsi="仿宋" w:eastAsia="仿宋" w:cs="仿宋"/>
          <w:kern w:val="2"/>
          <w:sz w:val="24"/>
          <w:szCs w:val="24"/>
          <w:lang w:val="en-US" w:eastAsia="zh-CN" w:bidi="ar-SA"/>
        </w:rPr>
        <w:t>图39 培训集体照</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_Toc13866 \h </w:instrText>
      </w:r>
      <w:r>
        <w:rPr>
          <w:rFonts w:hint="eastAsia" w:ascii="仿宋" w:hAnsi="仿宋" w:eastAsia="仿宋" w:cs="仿宋"/>
          <w:sz w:val="24"/>
          <w:szCs w:val="24"/>
        </w:rPr>
        <w:fldChar w:fldCharType="separate"/>
      </w:r>
      <w:r>
        <w:rPr>
          <w:rFonts w:hint="eastAsia" w:ascii="仿宋" w:hAnsi="仿宋" w:eastAsia="仿宋" w:cs="仿宋"/>
          <w:sz w:val="24"/>
          <w:szCs w:val="24"/>
        </w:rPr>
        <w:t>58</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8A6AAC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_Toc15497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图40 实操现场02</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_Toc15497 \h </w:instrText>
      </w:r>
      <w:r>
        <w:rPr>
          <w:rFonts w:hint="eastAsia" w:ascii="仿宋" w:hAnsi="仿宋" w:eastAsia="仿宋" w:cs="仿宋"/>
          <w:sz w:val="24"/>
          <w:szCs w:val="24"/>
        </w:rPr>
        <w:fldChar w:fldCharType="separate"/>
      </w:r>
      <w:r>
        <w:rPr>
          <w:rFonts w:hint="eastAsia" w:ascii="仿宋" w:hAnsi="仿宋" w:eastAsia="仿宋" w:cs="仿宋"/>
          <w:sz w:val="24"/>
          <w:szCs w:val="24"/>
        </w:rPr>
        <w:t>59</w:t>
      </w:r>
      <w:r>
        <w:rPr>
          <w:rFonts w:hint="eastAsia" w:ascii="仿宋" w:hAnsi="仿宋" w:eastAsia="仿宋" w:cs="仿宋"/>
          <w:sz w:val="24"/>
          <w:szCs w:val="24"/>
        </w:rPr>
        <w:fldChar w:fldCharType="end"/>
      </w:r>
    </w:p>
    <w:p w14:paraId="74F265E3">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t>图41 优秀学员颁奖</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_Toc15497 \h </w:instrText>
      </w:r>
      <w:r>
        <w:rPr>
          <w:rFonts w:hint="eastAsia" w:ascii="仿宋" w:hAnsi="仿宋" w:eastAsia="仿宋" w:cs="仿宋"/>
          <w:sz w:val="24"/>
          <w:szCs w:val="24"/>
        </w:rPr>
        <w:fldChar w:fldCharType="separate"/>
      </w:r>
      <w:r>
        <w:rPr>
          <w:rFonts w:hint="eastAsia" w:ascii="仿宋" w:hAnsi="仿宋" w:eastAsia="仿宋" w:cs="仿宋"/>
          <w:sz w:val="24"/>
          <w:szCs w:val="24"/>
        </w:rPr>
        <w:t>59</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0F34D9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_Toc9533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 xml:space="preserve">图42 授课教师：住建局工程师黄丽文图 </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_Toc9533 \h </w:instrText>
      </w:r>
      <w:r>
        <w:rPr>
          <w:rFonts w:hint="eastAsia" w:ascii="仿宋" w:hAnsi="仿宋" w:eastAsia="仿宋" w:cs="仿宋"/>
          <w:sz w:val="24"/>
          <w:szCs w:val="24"/>
        </w:rPr>
        <w:fldChar w:fldCharType="separate"/>
      </w:r>
      <w:r>
        <w:rPr>
          <w:rFonts w:hint="eastAsia" w:ascii="仿宋" w:hAnsi="仿宋" w:eastAsia="仿宋" w:cs="仿宋"/>
          <w:sz w:val="24"/>
          <w:szCs w:val="24"/>
        </w:rPr>
        <w:t>59</w:t>
      </w:r>
      <w:r>
        <w:rPr>
          <w:rFonts w:hint="eastAsia" w:ascii="仿宋" w:hAnsi="仿宋" w:eastAsia="仿宋" w:cs="仿宋"/>
          <w:sz w:val="24"/>
          <w:szCs w:val="24"/>
        </w:rPr>
        <w:fldChar w:fldCharType="end"/>
      </w:r>
    </w:p>
    <w:p w14:paraId="254732C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t>图43 授课教师:企业家罗红斌</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_Toc9533 \h </w:instrText>
      </w:r>
      <w:r>
        <w:rPr>
          <w:rFonts w:hint="eastAsia" w:ascii="仿宋" w:hAnsi="仿宋" w:eastAsia="仿宋" w:cs="仿宋"/>
          <w:sz w:val="24"/>
          <w:szCs w:val="24"/>
        </w:rPr>
        <w:fldChar w:fldCharType="separate"/>
      </w:r>
      <w:r>
        <w:rPr>
          <w:rFonts w:hint="eastAsia" w:ascii="仿宋" w:hAnsi="仿宋" w:eastAsia="仿宋" w:cs="仿宋"/>
          <w:sz w:val="24"/>
          <w:szCs w:val="24"/>
        </w:rPr>
        <w:t>59</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9DBB1CB">
      <w:pPr>
        <w:pStyle w:val="15"/>
        <w:tabs>
          <w:tab w:val="right" w:leader="dot" w:pos="8306"/>
        </w:tabs>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_Toc25926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图44 优秀专业教师：李静静</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_Toc25926 \h </w:instrText>
      </w:r>
      <w:r>
        <w:rPr>
          <w:rFonts w:hint="eastAsia" w:ascii="仿宋" w:hAnsi="仿宋" w:eastAsia="仿宋" w:cs="仿宋"/>
          <w:sz w:val="24"/>
          <w:szCs w:val="24"/>
        </w:rPr>
        <w:fldChar w:fldCharType="separate"/>
      </w:r>
      <w:r>
        <w:rPr>
          <w:rFonts w:hint="eastAsia" w:ascii="仿宋" w:hAnsi="仿宋" w:eastAsia="仿宋" w:cs="仿宋"/>
          <w:sz w:val="24"/>
          <w:szCs w:val="24"/>
        </w:rPr>
        <w:t>60</w:t>
      </w:r>
      <w:r>
        <w:rPr>
          <w:rFonts w:hint="eastAsia" w:ascii="仿宋" w:hAnsi="仿宋" w:eastAsia="仿宋" w:cs="仿宋"/>
          <w:sz w:val="24"/>
          <w:szCs w:val="24"/>
        </w:rPr>
        <w:fldChar w:fldCharType="end"/>
      </w:r>
    </w:p>
    <w:p w14:paraId="72992822">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t>图45 优秀专业教师：李珍</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_Toc25926 \h </w:instrText>
      </w:r>
      <w:r>
        <w:rPr>
          <w:rFonts w:hint="eastAsia" w:ascii="仿宋" w:hAnsi="仿宋" w:eastAsia="仿宋" w:cs="仿宋"/>
          <w:sz w:val="24"/>
          <w:szCs w:val="24"/>
        </w:rPr>
        <w:fldChar w:fldCharType="separate"/>
      </w:r>
      <w:r>
        <w:rPr>
          <w:rFonts w:hint="eastAsia" w:ascii="仿宋" w:hAnsi="仿宋" w:eastAsia="仿宋" w:cs="仿宋"/>
          <w:sz w:val="24"/>
          <w:szCs w:val="24"/>
        </w:rPr>
        <w:t>60</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13C816E">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_Toc5612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图46 福建紫金监理咨询有限公司培训基地牌匾</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_Toc5612 \h </w:instrText>
      </w:r>
      <w:r>
        <w:rPr>
          <w:rFonts w:hint="eastAsia" w:ascii="仿宋" w:hAnsi="仿宋" w:eastAsia="仿宋" w:cs="仿宋"/>
          <w:sz w:val="24"/>
          <w:szCs w:val="24"/>
        </w:rPr>
        <w:fldChar w:fldCharType="separate"/>
      </w:r>
      <w:r>
        <w:rPr>
          <w:rFonts w:hint="eastAsia" w:ascii="仿宋" w:hAnsi="仿宋" w:eastAsia="仿宋" w:cs="仿宋"/>
          <w:sz w:val="24"/>
          <w:szCs w:val="24"/>
        </w:rPr>
        <w:t>61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34C0F6C7">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_Toc24359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图47 上杭职业中专学校退役军人无人机操控培训现场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_Toc24359 \h </w:instrText>
      </w:r>
      <w:r>
        <w:rPr>
          <w:rFonts w:hint="eastAsia" w:ascii="仿宋" w:hAnsi="仿宋" w:eastAsia="仿宋" w:cs="仿宋"/>
          <w:sz w:val="24"/>
          <w:szCs w:val="24"/>
        </w:rPr>
        <w:fldChar w:fldCharType="separate"/>
      </w:r>
      <w:r>
        <w:rPr>
          <w:rFonts w:hint="eastAsia" w:ascii="仿宋" w:hAnsi="仿宋" w:eastAsia="仿宋" w:cs="仿宋"/>
          <w:sz w:val="24"/>
          <w:szCs w:val="24"/>
        </w:rPr>
        <w:t>62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5EDD23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_Toc4003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图48 上杭职业中专学校乡村直播人才培训现场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_Toc4003 \h </w:instrText>
      </w:r>
      <w:r>
        <w:rPr>
          <w:rFonts w:hint="eastAsia" w:ascii="仿宋" w:hAnsi="仿宋" w:eastAsia="仿宋" w:cs="仿宋"/>
          <w:sz w:val="24"/>
          <w:szCs w:val="24"/>
        </w:rPr>
        <w:fldChar w:fldCharType="separate"/>
      </w:r>
      <w:r>
        <w:rPr>
          <w:rFonts w:hint="eastAsia" w:ascii="仿宋" w:hAnsi="仿宋" w:eastAsia="仿宋" w:cs="仿宋"/>
          <w:sz w:val="24"/>
          <w:szCs w:val="24"/>
        </w:rPr>
        <w:t>64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86B65D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_Toc16535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图49 上杭职业中专学校退役士兵适应性培训现场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_Toc16535 \h </w:instrText>
      </w:r>
      <w:r>
        <w:rPr>
          <w:rFonts w:hint="eastAsia" w:ascii="仿宋" w:hAnsi="仿宋" w:eastAsia="仿宋" w:cs="仿宋"/>
          <w:sz w:val="24"/>
          <w:szCs w:val="24"/>
        </w:rPr>
        <w:fldChar w:fldCharType="separate"/>
      </w:r>
      <w:r>
        <w:rPr>
          <w:rFonts w:hint="eastAsia" w:ascii="仿宋" w:hAnsi="仿宋" w:eastAsia="仿宋" w:cs="仿宋"/>
          <w:sz w:val="24"/>
          <w:szCs w:val="24"/>
        </w:rPr>
        <w:t>65</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58EEE99">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_Toc29105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图50 上杭职业中专学校老年大学教学现场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_Toc29105 \h </w:instrText>
      </w:r>
      <w:r>
        <w:rPr>
          <w:rFonts w:hint="eastAsia" w:ascii="仿宋" w:hAnsi="仿宋" w:eastAsia="仿宋" w:cs="仿宋"/>
          <w:sz w:val="24"/>
          <w:szCs w:val="24"/>
        </w:rPr>
        <w:fldChar w:fldCharType="separate"/>
      </w:r>
      <w:r>
        <w:rPr>
          <w:rFonts w:hint="eastAsia" w:ascii="仿宋" w:hAnsi="仿宋" w:eastAsia="仿宋" w:cs="仿宋"/>
          <w:sz w:val="24"/>
          <w:szCs w:val="24"/>
        </w:rPr>
        <w:t>66</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DED4903">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_Toc12531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 xml:space="preserve">图51 </w:t>
      </w:r>
      <w:r>
        <w:rPr>
          <w:rFonts w:hint="eastAsia" w:ascii="仿宋" w:hAnsi="仿宋" w:eastAsia="仿宋" w:cs="仿宋"/>
          <w:sz w:val="24"/>
          <w:szCs w:val="24"/>
        </w:rPr>
        <w:t>2025年3月，泉州华侨职业中专学校</w:t>
      </w:r>
      <w:r>
        <w:rPr>
          <w:rFonts w:hint="eastAsia" w:ascii="仿宋" w:hAnsi="仿宋" w:eastAsia="仿宋" w:cs="仿宋"/>
          <w:sz w:val="24"/>
          <w:szCs w:val="24"/>
          <w:lang w:val="en-US" w:eastAsia="zh-CN"/>
        </w:rPr>
        <w:t>到</w:t>
      </w:r>
      <w:r>
        <w:rPr>
          <w:rFonts w:hint="eastAsia" w:ascii="仿宋" w:hAnsi="仿宋" w:eastAsia="仿宋" w:cs="仿宋"/>
          <w:sz w:val="24"/>
          <w:szCs w:val="24"/>
          <w:lang w:eastAsia="zh-CN"/>
        </w:rPr>
        <w:t>我校交流</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_Toc12531 \h </w:instrText>
      </w:r>
      <w:r>
        <w:rPr>
          <w:rFonts w:hint="eastAsia" w:ascii="仿宋" w:hAnsi="仿宋" w:eastAsia="仿宋" w:cs="仿宋"/>
          <w:sz w:val="24"/>
          <w:szCs w:val="24"/>
        </w:rPr>
        <w:fldChar w:fldCharType="separate"/>
      </w:r>
      <w:r>
        <w:rPr>
          <w:rFonts w:hint="eastAsia" w:ascii="仿宋" w:hAnsi="仿宋" w:eastAsia="仿宋" w:cs="仿宋"/>
          <w:sz w:val="24"/>
          <w:szCs w:val="24"/>
        </w:rPr>
        <w:t>67</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E0B32E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_Toc24619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图52 2025年5月永定侨荣职业中专学校新班主任到我校跟岗学习</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_Toc24619 \h </w:instrText>
      </w:r>
      <w:r>
        <w:rPr>
          <w:rFonts w:hint="eastAsia" w:ascii="仿宋" w:hAnsi="仿宋" w:eastAsia="仿宋" w:cs="仿宋"/>
          <w:sz w:val="24"/>
          <w:szCs w:val="24"/>
        </w:rPr>
        <w:fldChar w:fldCharType="separate"/>
      </w:r>
      <w:r>
        <w:rPr>
          <w:rFonts w:hint="eastAsia" w:ascii="仿宋" w:hAnsi="仿宋" w:eastAsia="仿宋" w:cs="仿宋"/>
          <w:sz w:val="24"/>
          <w:szCs w:val="24"/>
        </w:rPr>
        <w:t>68</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41F96C5">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_Toc7551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图53 学生参加技能实训</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_Toc7551 \h </w:instrText>
      </w:r>
      <w:r>
        <w:rPr>
          <w:rFonts w:hint="eastAsia" w:ascii="仿宋" w:hAnsi="仿宋" w:eastAsia="仿宋" w:cs="仿宋"/>
          <w:sz w:val="24"/>
          <w:szCs w:val="24"/>
        </w:rPr>
        <w:fldChar w:fldCharType="separate"/>
      </w:r>
      <w:r>
        <w:rPr>
          <w:rFonts w:hint="eastAsia" w:ascii="仿宋" w:hAnsi="仿宋" w:eastAsia="仿宋" w:cs="仿宋"/>
          <w:sz w:val="24"/>
          <w:szCs w:val="24"/>
        </w:rPr>
        <w:t>69</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4491D8B0">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_Toc3772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图54 实习指导培训</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_Toc3772 \h </w:instrText>
      </w:r>
      <w:r>
        <w:rPr>
          <w:rFonts w:hint="eastAsia" w:ascii="仿宋" w:hAnsi="仿宋" w:eastAsia="仿宋" w:cs="仿宋"/>
          <w:sz w:val="24"/>
          <w:szCs w:val="24"/>
        </w:rPr>
        <w:fldChar w:fldCharType="separate"/>
      </w:r>
      <w:r>
        <w:rPr>
          <w:rFonts w:hint="eastAsia" w:ascii="仿宋" w:hAnsi="仿宋" w:eastAsia="仿宋" w:cs="仿宋"/>
          <w:sz w:val="24"/>
          <w:szCs w:val="24"/>
        </w:rPr>
        <w:t>70</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113D9BB">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_Toc24778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图55 技能比赛</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_Toc24778 \h </w:instrText>
      </w:r>
      <w:r>
        <w:rPr>
          <w:rFonts w:hint="eastAsia" w:ascii="仿宋" w:hAnsi="仿宋" w:eastAsia="仿宋" w:cs="仿宋"/>
          <w:sz w:val="24"/>
          <w:szCs w:val="24"/>
        </w:rPr>
        <w:fldChar w:fldCharType="separate"/>
      </w:r>
      <w:r>
        <w:rPr>
          <w:rFonts w:hint="eastAsia" w:ascii="仿宋" w:hAnsi="仿宋" w:eastAsia="仿宋" w:cs="仿宋"/>
          <w:sz w:val="24"/>
          <w:szCs w:val="24"/>
        </w:rPr>
        <w:t>70</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CCFE10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_Toc21766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图56 参加劳动实践</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_Toc21766 \h </w:instrText>
      </w:r>
      <w:r>
        <w:rPr>
          <w:rFonts w:hint="eastAsia" w:ascii="仿宋" w:hAnsi="仿宋" w:eastAsia="仿宋" w:cs="仿宋"/>
          <w:sz w:val="24"/>
          <w:szCs w:val="24"/>
        </w:rPr>
        <w:fldChar w:fldCharType="separate"/>
      </w:r>
      <w:r>
        <w:rPr>
          <w:rFonts w:hint="eastAsia" w:ascii="仿宋" w:hAnsi="仿宋" w:eastAsia="仿宋" w:cs="仿宋"/>
          <w:sz w:val="24"/>
          <w:szCs w:val="24"/>
        </w:rPr>
        <w:t>71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020B1647">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_Toc26126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图57 帮厨体验</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_Toc26126 \h </w:instrText>
      </w:r>
      <w:r>
        <w:rPr>
          <w:rFonts w:hint="eastAsia" w:ascii="仿宋" w:hAnsi="仿宋" w:eastAsia="仿宋" w:cs="仿宋"/>
          <w:sz w:val="24"/>
          <w:szCs w:val="24"/>
        </w:rPr>
        <w:fldChar w:fldCharType="separate"/>
      </w:r>
      <w:r>
        <w:rPr>
          <w:rFonts w:hint="eastAsia" w:ascii="仿宋" w:hAnsi="仿宋" w:eastAsia="仿宋" w:cs="仿宋"/>
          <w:sz w:val="24"/>
          <w:szCs w:val="24"/>
        </w:rPr>
        <w:t>71</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7F728FC0">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_Toc8945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图58 师德标兵宣传材料</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_Toc8945 \h </w:instrText>
      </w:r>
      <w:r>
        <w:rPr>
          <w:rFonts w:hint="eastAsia" w:ascii="仿宋" w:hAnsi="仿宋" w:eastAsia="仿宋" w:cs="仿宋"/>
          <w:sz w:val="24"/>
          <w:szCs w:val="24"/>
        </w:rPr>
        <w:fldChar w:fldCharType="separate"/>
      </w:r>
      <w:r>
        <w:rPr>
          <w:rFonts w:hint="eastAsia" w:ascii="仿宋" w:hAnsi="仿宋" w:eastAsia="仿宋" w:cs="仿宋"/>
          <w:sz w:val="24"/>
          <w:szCs w:val="24"/>
        </w:rPr>
        <w:t>72</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FA6B66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_Toc12488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图59 参观红色纪念馆</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_Toc12488 \h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E9BF1B8">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_Toc15473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图60 学生军训活动</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_Toc15473 \h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50F8E3CC">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_Toc12765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图61 学习编绳</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_Toc12765 \h </w:instrText>
      </w:r>
      <w:r>
        <w:rPr>
          <w:rFonts w:hint="eastAsia" w:ascii="仿宋" w:hAnsi="仿宋" w:eastAsia="仿宋" w:cs="仿宋"/>
          <w:sz w:val="24"/>
          <w:szCs w:val="24"/>
        </w:rPr>
        <w:fldChar w:fldCharType="separate"/>
      </w:r>
      <w:r>
        <w:rPr>
          <w:rFonts w:hint="eastAsia" w:ascii="仿宋" w:hAnsi="仿宋" w:eastAsia="仿宋" w:cs="仿宋"/>
          <w:sz w:val="24"/>
          <w:szCs w:val="24"/>
        </w:rPr>
        <w:t>74</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264BAE14">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_Toc8337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图62 2024年学校加入全国海丝跨境电商产教融合共同体</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_Toc8337 \h </w:instrText>
      </w:r>
      <w:r>
        <w:rPr>
          <w:rFonts w:hint="eastAsia" w:ascii="仿宋" w:hAnsi="仿宋" w:eastAsia="仿宋" w:cs="仿宋"/>
          <w:sz w:val="24"/>
          <w:szCs w:val="24"/>
        </w:rPr>
        <w:fldChar w:fldCharType="separate"/>
      </w:r>
      <w:r>
        <w:rPr>
          <w:rFonts w:hint="eastAsia" w:ascii="仿宋" w:hAnsi="仿宋" w:eastAsia="仿宋" w:cs="仿宋"/>
          <w:sz w:val="24"/>
          <w:szCs w:val="24"/>
        </w:rPr>
        <w:t>77</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1E828A81">
      <w:pPr>
        <w:pStyle w:val="15"/>
        <w:tabs>
          <w:tab w:val="right" w:leader="dot" w:pos="8306"/>
        </w:tabs>
        <w:rPr>
          <w:rFonts w:hint="eastAsia" w:ascii="仿宋" w:hAnsi="仿宋" w:eastAsia="仿宋" w:cs="仿宋"/>
          <w:sz w:val="24"/>
          <w:szCs w:val="24"/>
        </w:rPr>
      </w:pPr>
      <w:r>
        <w:rPr>
          <w:rFonts w:hint="eastAsia" w:ascii="仿宋" w:hAnsi="仿宋" w:eastAsia="仿宋" w:cs="仿宋"/>
          <w:sz w:val="24"/>
          <w:szCs w:val="24"/>
          <w:lang w:val="en-US" w:eastAsia="zh-CN"/>
        </w:rPr>
        <w:fldChar w:fldCharType="begin"/>
      </w:r>
      <w:r>
        <w:rPr>
          <w:rFonts w:hint="eastAsia" w:ascii="仿宋" w:hAnsi="仿宋" w:eastAsia="仿宋" w:cs="仿宋"/>
          <w:sz w:val="24"/>
          <w:szCs w:val="24"/>
          <w:lang w:val="en-US" w:eastAsia="zh-CN"/>
        </w:rPr>
        <w:instrText xml:space="preserve"> HYPERLINK \l _Toc24320 </w:instrText>
      </w:r>
      <w:r>
        <w:rPr>
          <w:rFonts w:hint="eastAsia" w:ascii="仿宋" w:hAnsi="仿宋" w:eastAsia="仿宋" w:cs="仿宋"/>
          <w:sz w:val="24"/>
          <w:szCs w:val="24"/>
          <w:lang w:val="en-US" w:eastAsia="zh-CN"/>
        </w:rPr>
        <w:fldChar w:fldCharType="separate"/>
      </w:r>
      <w:r>
        <w:rPr>
          <w:rFonts w:hint="eastAsia" w:ascii="仿宋" w:hAnsi="仿宋" w:eastAsia="仿宋" w:cs="仿宋"/>
          <w:sz w:val="24"/>
          <w:szCs w:val="24"/>
          <w:lang w:val="en-US" w:eastAsia="zh-CN"/>
        </w:rPr>
        <w:t>图63 泰国素叻他尼皇家大学来学校交流</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_Toc24320 \h </w:instrText>
      </w:r>
      <w:r>
        <w:rPr>
          <w:rFonts w:hint="eastAsia" w:ascii="仿宋" w:hAnsi="仿宋" w:eastAsia="仿宋" w:cs="仿宋"/>
          <w:sz w:val="24"/>
          <w:szCs w:val="24"/>
        </w:rPr>
        <w:fldChar w:fldCharType="separate"/>
      </w:r>
      <w:r>
        <w:rPr>
          <w:rFonts w:hint="eastAsia" w:ascii="仿宋" w:hAnsi="仿宋" w:eastAsia="仿宋" w:cs="仿宋"/>
          <w:sz w:val="24"/>
          <w:szCs w:val="24"/>
        </w:rPr>
        <w:t>78</w:t>
      </w:r>
      <w:r>
        <w:rPr>
          <w:rFonts w:hint="eastAsia" w:ascii="仿宋" w:hAnsi="仿宋" w:eastAsia="仿宋" w:cs="仿宋"/>
          <w:sz w:val="24"/>
          <w:szCs w:val="24"/>
        </w:rPr>
        <w:fldChar w:fldCharType="end"/>
      </w:r>
      <w:r>
        <w:rPr>
          <w:rFonts w:hint="eastAsia" w:ascii="仿宋" w:hAnsi="仿宋" w:eastAsia="仿宋" w:cs="仿宋"/>
          <w:sz w:val="24"/>
          <w:szCs w:val="24"/>
          <w:lang w:val="en-US" w:eastAsia="zh-CN"/>
        </w:rPr>
        <w:fldChar w:fldCharType="end"/>
      </w:r>
    </w:p>
    <w:p w14:paraId="6A94BAC1">
      <w:pPr>
        <w:pStyle w:val="24"/>
        <w:bidi w:val="0"/>
        <w:rPr>
          <w:rFonts w:hint="eastAsia"/>
          <w:lang w:val="en-US" w:eastAsia="zh-CN"/>
        </w:rPr>
      </w:pPr>
      <w:r>
        <w:rPr>
          <w:rFonts w:hint="eastAsia" w:ascii="仿宋" w:hAnsi="仿宋" w:eastAsia="仿宋" w:cs="仿宋"/>
          <w:sz w:val="24"/>
          <w:szCs w:val="24"/>
          <w:lang w:val="en-US" w:eastAsia="zh-CN"/>
        </w:rPr>
        <w:fldChar w:fldCharType="end"/>
      </w:r>
    </w:p>
    <w:p w14:paraId="755E8284">
      <w:pPr>
        <w:outlineLvl w:val="0"/>
        <w:rPr>
          <w:rFonts w:hint="eastAsia" w:ascii="黑体" w:hAnsi="黑体" w:eastAsia="黑体" w:cs="宋体"/>
          <w:b/>
          <w:bCs/>
          <w:color w:val="000000"/>
          <w:kern w:val="0"/>
          <w:sz w:val="32"/>
          <w:szCs w:val="32"/>
          <w:shd w:val="clear" w:color="auto" w:fill="FFFFFF"/>
          <w:lang w:val="en-US" w:eastAsia="zh-CN" w:bidi="ar-SA"/>
        </w:rPr>
      </w:pPr>
      <w:bookmarkStart w:id="3" w:name="_Toc19538"/>
      <w:r>
        <w:rPr>
          <w:rFonts w:hint="eastAsia" w:ascii="黑体" w:hAnsi="黑体" w:eastAsia="黑体" w:cs="宋体"/>
          <w:b/>
          <w:bCs/>
          <w:color w:val="000000"/>
          <w:kern w:val="0"/>
          <w:sz w:val="32"/>
          <w:szCs w:val="32"/>
          <w:shd w:val="clear" w:color="auto" w:fill="FFFFFF"/>
          <w:lang w:val="en-US" w:eastAsia="zh-CN" w:bidi="ar-SA"/>
        </w:rPr>
        <w:t>案例目录</w:t>
      </w:r>
      <w:bookmarkEnd w:id="3"/>
    </w:p>
    <w:p w14:paraId="3836F64A">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Cs w:val="28"/>
          <w:shd w:val="clear" w:color="auto" w:fill="FFFFFF"/>
          <w:lang w:val="en-US" w:eastAsia="zh-CN" w:bidi="ar-SA"/>
        </w:rPr>
        <w:fldChar w:fldCharType="begin"/>
      </w:r>
      <w:r>
        <w:rPr>
          <w:rFonts w:hint="eastAsia" w:ascii="仿宋" w:hAnsi="仿宋" w:eastAsia="仿宋" w:cs="仿宋"/>
          <w:bCs/>
          <w:color w:val="000000"/>
          <w:kern w:val="0"/>
          <w:szCs w:val="28"/>
          <w:shd w:val="clear" w:color="auto" w:fill="FFFFFF"/>
          <w:lang w:val="en-US" w:eastAsia="zh-CN" w:bidi="ar-SA"/>
        </w:rPr>
        <w:instrText xml:space="preserve">TOC \t "案例" \h \c</w:instrText>
      </w:r>
      <w:r>
        <w:rPr>
          <w:rFonts w:hint="eastAsia" w:ascii="仿宋" w:hAnsi="仿宋" w:eastAsia="仿宋" w:cs="仿宋"/>
          <w:bCs/>
          <w:color w:val="000000"/>
          <w:kern w:val="0"/>
          <w:szCs w:val="28"/>
          <w:shd w:val="clear" w:color="auto" w:fill="FFFFFF"/>
          <w:lang w:val="en-US" w:eastAsia="zh-CN" w:bidi="ar-SA"/>
        </w:rPr>
        <w:fldChar w:fldCharType="separate"/>
      </w: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_Toc21047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案例1：墨韵飘香润心田 以文育人促发展</w:t>
      </w:r>
      <w:r>
        <w:rPr>
          <w:rFonts w:hint="eastAsia" w:ascii="仿宋" w:hAnsi="仿宋" w:eastAsia="仿宋" w:cs="仿宋"/>
          <w:bCs w:val="0"/>
          <w:sz w:val="24"/>
          <w:szCs w:val="24"/>
          <w:lang w:val="en-US" w:eastAsia="zh-CN"/>
        </w:rPr>
        <w:t>——“三全育人”典型案例</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_Toc21047 \h </w:instrText>
      </w:r>
      <w:r>
        <w:rPr>
          <w:rFonts w:hint="eastAsia" w:ascii="仿宋" w:hAnsi="仿宋" w:eastAsia="仿宋" w:cs="仿宋"/>
          <w:sz w:val="24"/>
          <w:szCs w:val="24"/>
        </w:rPr>
        <w:fldChar w:fldCharType="separate"/>
      </w:r>
      <w:r>
        <w:rPr>
          <w:rFonts w:hint="eastAsia" w:ascii="仿宋" w:hAnsi="仿宋" w:eastAsia="仿宋" w:cs="仿宋"/>
          <w:sz w:val="24"/>
          <w:szCs w:val="24"/>
        </w:rPr>
        <w:t>17</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7EECB0C9">
      <w:pPr>
        <w:pStyle w:val="15"/>
        <w:tabs>
          <w:tab w:val="right" w:leader="dot" w:pos="8306"/>
        </w:tabs>
        <w:rPr>
          <w:rFonts w:hint="eastAsia" w:ascii="仿宋" w:hAnsi="仿宋" w:eastAsia="仿宋" w:cs="仿宋"/>
          <w:sz w:val="24"/>
          <w:szCs w:val="24"/>
        </w:rPr>
      </w:pPr>
      <w:r>
        <w:rPr>
          <w:rFonts w:hint="eastAsia" w:ascii="仿宋" w:hAnsi="仿宋" w:eastAsia="仿宋" w:cs="仿宋"/>
          <w:bCs/>
          <w:color w:val="000000"/>
          <w:kern w:val="0"/>
          <w:sz w:val="24"/>
          <w:szCs w:val="24"/>
          <w:shd w:val="clear" w:color="auto" w:fill="FFFFFF"/>
          <w:lang w:val="en-US" w:eastAsia="zh-CN" w:bidi="ar-SA"/>
        </w:rPr>
        <w:t xml:space="preserve">案例2; </w:t>
      </w: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_Toc9209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智慧赋能、数据驱动——构建现代化院校治理体系</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_Toc9209 \h </w:instrText>
      </w:r>
      <w:r>
        <w:rPr>
          <w:rFonts w:hint="eastAsia" w:ascii="仿宋" w:hAnsi="仿宋" w:eastAsia="仿宋" w:cs="仿宋"/>
          <w:sz w:val="24"/>
          <w:szCs w:val="24"/>
        </w:rPr>
        <w:fldChar w:fldCharType="separate"/>
      </w:r>
      <w:r>
        <w:rPr>
          <w:rFonts w:hint="eastAsia" w:ascii="仿宋" w:hAnsi="仿宋" w:eastAsia="仿宋" w:cs="仿宋"/>
          <w:sz w:val="24"/>
          <w:szCs w:val="24"/>
        </w:rPr>
        <w:t>26</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4A61E412">
      <w:pPr>
        <w:pStyle w:val="15"/>
        <w:tabs>
          <w:tab w:val="right" w:leader="dot" w:pos="8306"/>
        </w:tabs>
        <w:ind w:left="1380" w:hanging="960" w:hangingChars="400"/>
      </w:pPr>
      <w:r>
        <w:rPr>
          <w:rFonts w:hint="eastAsia" w:ascii="仿宋" w:hAnsi="仿宋" w:eastAsia="仿宋" w:cs="仿宋"/>
          <w:bCs/>
          <w:color w:val="000000"/>
          <w:kern w:val="0"/>
          <w:sz w:val="24"/>
          <w:szCs w:val="24"/>
          <w:shd w:val="clear" w:color="auto" w:fill="FFFFFF"/>
          <w:lang w:val="en-US" w:eastAsia="zh-CN" w:bidi="ar-SA"/>
        </w:rPr>
        <w:t>案例3：</w:t>
      </w:r>
      <w:r>
        <w:rPr>
          <w:rFonts w:hint="eastAsia" w:ascii="仿宋" w:hAnsi="仿宋" w:eastAsia="仿宋" w:cs="仿宋"/>
          <w:bCs/>
          <w:color w:val="000000"/>
          <w:kern w:val="0"/>
          <w:sz w:val="24"/>
          <w:szCs w:val="24"/>
          <w:shd w:val="clear" w:color="auto" w:fill="FFFFFF"/>
          <w:lang w:val="en-US" w:eastAsia="zh-CN" w:bidi="ar-SA"/>
        </w:rPr>
        <w:fldChar w:fldCharType="begin"/>
      </w:r>
      <w:r>
        <w:rPr>
          <w:rFonts w:hint="eastAsia" w:ascii="仿宋" w:hAnsi="仿宋" w:eastAsia="仿宋" w:cs="仿宋"/>
          <w:bCs/>
          <w:kern w:val="0"/>
          <w:sz w:val="24"/>
          <w:szCs w:val="24"/>
          <w:shd w:val="clear" w:color="auto" w:fill="FFFFFF"/>
          <w:lang w:val="en-US" w:eastAsia="zh-CN" w:bidi="ar-SA"/>
        </w:rPr>
        <w:instrText xml:space="preserve"> HYPERLINK \l _Toc8921 </w:instrText>
      </w:r>
      <w:r>
        <w:rPr>
          <w:rFonts w:hint="eastAsia" w:ascii="仿宋" w:hAnsi="仿宋" w:eastAsia="仿宋" w:cs="仿宋"/>
          <w:bCs/>
          <w:kern w:val="0"/>
          <w:sz w:val="24"/>
          <w:szCs w:val="24"/>
          <w:shd w:val="clear" w:color="auto" w:fill="FFFFFF"/>
          <w:lang w:val="en-US" w:eastAsia="zh-CN" w:bidi="ar-SA"/>
        </w:rPr>
        <w:fldChar w:fldCharType="separate"/>
      </w:r>
      <w:r>
        <w:rPr>
          <w:rFonts w:hint="eastAsia" w:ascii="仿宋" w:hAnsi="仿宋" w:eastAsia="仿宋" w:cs="仿宋"/>
          <w:sz w:val="24"/>
          <w:szCs w:val="24"/>
          <w:lang w:val="en-US" w:eastAsia="zh-CN"/>
        </w:rPr>
        <w:t>“三维赋能·双轮驱动”县域中职“双师型”教师培养协同生态构建</w:t>
      </w:r>
      <w:r>
        <w:rPr>
          <w:rFonts w:hint="eastAsia" w:ascii="仿宋" w:hAnsi="仿宋" w:eastAsia="仿宋" w:cs="仿宋"/>
          <w:sz w:val="24"/>
          <w:szCs w:val="24"/>
        </w:rPr>
        <w:tab/>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PAGEREF _Toc8921 \h </w:instrText>
      </w:r>
      <w:r>
        <w:rPr>
          <w:rFonts w:hint="eastAsia" w:ascii="仿宋" w:hAnsi="仿宋" w:eastAsia="仿宋" w:cs="仿宋"/>
          <w:sz w:val="24"/>
          <w:szCs w:val="24"/>
        </w:rPr>
        <w:fldChar w:fldCharType="separate"/>
      </w:r>
      <w:r>
        <w:rPr>
          <w:rFonts w:hint="eastAsia" w:ascii="仿宋" w:hAnsi="仿宋" w:eastAsia="仿宋" w:cs="仿宋"/>
          <w:sz w:val="24"/>
          <w:szCs w:val="24"/>
        </w:rPr>
        <w:t>49</w:t>
      </w:r>
      <w:r>
        <w:rPr>
          <w:rFonts w:hint="eastAsia" w:ascii="仿宋" w:hAnsi="仿宋" w:eastAsia="仿宋" w:cs="仿宋"/>
          <w:sz w:val="24"/>
          <w:szCs w:val="24"/>
        </w:rPr>
        <w:fldChar w:fldCharType="end"/>
      </w:r>
      <w:r>
        <w:rPr>
          <w:rFonts w:hint="eastAsia" w:ascii="仿宋" w:hAnsi="仿宋" w:eastAsia="仿宋" w:cs="仿宋"/>
          <w:bCs/>
          <w:color w:val="000000"/>
          <w:kern w:val="0"/>
          <w:sz w:val="24"/>
          <w:szCs w:val="24"/>
          <w:shd w:val="clear" w:color="auto" w:fill="FFFFFF"/>
          <w:lang w:val="en-US" w:eastAsia="zh-CN" w:bidi="ar-SA"/>
        </w:rPr>
        <w:fldChar w:fldCharType="end"/>
      </w:r>
    </w:p>
    <w:p w14:paraId="7247A41E">
      <w:pPr>
        <w:pStyle w:val="15"/>
        <w:tabs>
          <w:tab w:val="right" w:leader="dot" w:pos="8306"/>
        </w:tabs>
        <w:rPr>
          <w:rFonts w:hint="eastAsia" w:ascii="黑体" w:hAnsi="黑体" w:eastAsia="黑体" w:cs="宋体"/>
          <w:b/>
          <w:bCs/>
          <w:color w:val="000000"/>
          <w:kern w:val="0"/>
          <w:sz w:val="32"/>
          <w:szCs w:val="32"/>
          <w:shd w:val="clear" w:color="auto" w:fill="FFFFFF"/>
          <w:lang w:val="en-US" w:eastAsia="zh-CN" w:bidi="ar-SA"/>
        </w:rPr>
      </w:pPr>
      <w:r>
        <w:rPr>
          <w:rFonts w:hint="eastAsia" w:ascii="仿宋" w:hAnsi="仿宋" w:eastAsia="仿宋" w:cs="仿宋"/>
          <w:bCs/>
          <w:color w:val="000000"/>
          <w:kern w:val="0"/>
          <w:szCs w:val="28"/>
          <w:shd w:val="clear" w:color="auto" w:fill="FFFFFF"/>
          <w:lang w:val="en-US" w:eastAsia="zh-CN" w:bidi="ar-SA"/>
        </w:rPr>
        <w:fldChar w:fldCharType="end"/>
      </w:r>
    </w:p>
    <w:p w14:paraId="1A9E13D7">
      <w:pPr>
        <w:outlineLvl w:val="0"/>
        <w:rPr>
          <w:rFonts w:hint="default" w:ascii="黑体" w:hAnsi="黑体" w:eastAsia="黑体" w:cs="宋体"/>
          <w:b/>
          <w:bCs/>
          <w:color w:val="000000"/>
          <w:kern w:val="0"/>
          <w:sz w:val="32"/>
          <w:szCs w:val="32"/>
          <w:shd w:val="clear" w:color="auto" w:fill="FFFFFF"/>
          <w:lang w:val="en-US" w:eastAsia="zh-CN" w:bidi="ar-SA"/>
        </w:rPr>
      </w:pPr>
      <w:bookmarkStart w:id="4" w:name="_Toc6598"/>
      <w:r>
        <w:rPr>
          <w:rFonts w:hint="eastAsia" w:ascii="黑体" w:hAnsi="黑体" w:eastAsia="黑体" w:cs="宋体"/>
          <w:b/>
          <w:bCs/>
          <w:color w:val="000000"/>
          <w:kern w:val="0"/>
          <w:sz w:val="32"/>
          <w:szCs w:val="32"/>
          <w:shd w:val="clear" w:color="auto" w:fill="FFFFFF"/>
          <w:lang w:val="en-US" w:eastAsia="zh-CN" w:bidi="ar-SA"/>
        </w:rPr>
        <w:t>年报公开网址</w:t>
      </w:r>
      <w:bookmarkEnd w:id="4"/>
      <w:r>
        <w:rPr>
          <w:rFonts w:hint="eastAsia" w:ascii="黑体" w:hAnsi="黑体" w:eastAsia="黑体" w:cs="宋体"/>
          <w:b/>
          <w:bCs/>
          <w:color w:val="000000"/>
          <w:kern w:val="0"/>
          <w:sz w:val="32"/>
          <w:szCs w:val="32"/>
          <w:shd w:val="clear" w:color="auto" w:fill="FFFFFF"/>
          <w:lang w:val="en-US" w:eastAsia="zh-CN" w:bidi="ar-SA"/>
        </w:rPr>
        <w:t>:</w:t>
      </w:r>
    </w:p>
    <w:p w14:paraId="3542EE10">
      <w:pPr>
        <w:pStyle w:val="17"/>
        <w:spacing w:before="0" w:beforeAutospacing="0" w:after="0" w:afterAutospacing="0" w:line="580" w:lineRule="exact"/>
        <w:outlineLvl w:val="0"/>
        <w:rPr>
          <w:rFonts w:hint="eastAsia" w:ascii="黑体" w:hAnsi="黑体" w:eastAsia="黑体"/>
          <w:b/>
          <w:bCs/>
          <w:color w:val="000000"/>
          <w:sz w:val="32"/>
          <w:szCs w:val="32"/>
          <w:shd w:val="clear" w:color="auto" w:fill="FFFFFF"/>
          <w:lang w:val="en-US" w:eastAsia="zh-CN"/>
        </w:rPr>
      </w:pPr>
    </w:p>
    <w:p w14:paraId="18B86EF1">
      <w:pPr>
        <w:pStyle w:val="17"/>
        <w:spacing w:before="0" w:beforeAutospacing="0" w:after="0" w:afterAutospacing="0" w:line="580" w:lineRule="exact"/>
        <w:outlineLvl w:val="0"/>
        <w:rPr>
          <w:rFonts w:hint="eastAsia" w:ascii="黑体" w:hAnsi="黑体" w:eastAsia="黑体"/>
          <w:b/>
          <w:bCs/>
          <w:color w:val="000000"/>
          <w:sz w:val="32"/>
          <w:szCs w:val="32"/>
          <w:shd w:val="clear" w:color="auto" w:fill="FFFFFF"/>
          <w:lang w:val="en-US" w:eastAsia="zh-CN"/>
        </w:rPr>
        <w:sectPr>
          <w:pgSz w:w="11906" w:h="16838"/>
          <w:pgMar w:top="1100" w:right="1800" w:bottom="1157" w:left="1800" w:header="851" w:footer="992" w:gutter="0"/>
          <w:cols w:space="425" w:num="1"/>
          <w:docGrid w:type="lines" w:linePitch="312" w:charSpace="0"/>
        </w:sectPr>
      </w:pPr>
    </w:p>
    <w:p w14:paraId="499AC527">
      <w:pPr>
        <w:pStyle w:val="17"/>
        <w:spacing w:before="0" w:beforeAutospacing="0" w:after="0" w:afterAutospacing="0" w:line="580" w:lineRule="exact"/>
        <w:outlineLvl w:val="0"/>
        <w:rPr>
          <w:rFonts w:ascii="黑体" w:hAnsi="黑体" w:eastAsia="黑体"/>
          <w:b/>
          <w:bCs/>
          <w:color w:val="000000"/>
          <w:sz w:val="32"/>
          <w:szCs w:val="32"/>
          <w:shd w:val="clear" w:color="auto" w:fill="FFFFFF"/>
        </w:rPr>
      </w:pPr>
      <w:bookmarkStart w:id="5" w:name="_Toc24384"/>
      <w:r>
        <w:rPr>
          <w:rFonts w:hint="eastAsia" w:ascii="黑体" w:hAnsi="黑体" w:eastAsia="黑体"/>
          <w:b/>
          <w:bCs/>
          <w:color w:val="000000"/>
          <w:sz w:val="32"/>
          <w:szCs w:val="32"/>
          <w:shd w:val="clear" w:color="auto" w:fill="FFFFFF"/>
          <w:lang w:val="en-US" w:eastAsia="zh-CN"/>
        </w:rPr>
        <w:t>1</w:t>
      </w:r>
      <w:r>
        <w:rPr>
          <w:rFonts w:hint="eastAsia" w:ascii="黑体" w:hAnsi="黑体" w:eastAsia="黑体"/>
          <w:b/>
          <w:bCs/>
          <w:color w:val="000000"/>
          <w:sz w:val="32"/>
          <w:szCs w:val="32"/>
          <w:shd w:val="clear" w:color="auto" w:fill="FFFFFF"/>
        </w:rPr>
        <w:t xml:space="preserve"> 人才培养</w:t>
      </w:r>
      <w:bookmarkEnd w:id="5"/>
    </w:p>
    <w:p w14:paraId="04C7549B">
      <w:pPr>
        <w:spacing w:line="580" w:lineRule="exact"/>
        <w:outlineLvl w:val="1"/>
        <w:rPr>
          <w:rFonts w:hint="eastAsia" w:ascii="仿宋_GB2312" w:hAnsi="Yu Mincho Light" w:eastAsia="仿宋_GB2312" w:cs="Yu Mincho Light"/>
          <w:b/>
          <w:bCs/>
          <w:sz w:val="32"/>
        </w:rPr>
      </w:pPr>
      <w:bookmarkStart w:id="6" w:name="_Toc18559"/>
      <w:r>
        <w:rPr>
          <w:rFonts w:hint="eastAsia" w:ascii="仿宋_GB2312" w:hAnsi="Yu Mincho Light" w:eastAsia="仿宋_GB2312" w:cs="Yu Mincho Light"/>
          <w:b/>
          <w:bCs/>
          <w:sz w:val="32"/>
          <w:lang w:val="en-US" w:eastAsia="zh-CN"/>
        </w:rPr>
        <w:t>1</w:t>
      </w:r>
      <w:r>
        <w:rPr>
          <w:rFonts w:hint="eastAsia" w:ascii="仿宋_GB2312" w:hAnsi="Yu Mincho Light" w:eastAsia="仿宋_GB2312" w:cs="Yu Mincho Light"/>
          <w:b/>
          <w:bCs/>
          <w:sz w:val="32"/>
        </w:rPr>
        <w:t>.1立德树人</w:t>
      </w:r>
      <w:bookmarkEnd w:id="6"/>
    </w:p>
    <w:p w14:paraId="50C53E55">
      <w:pPr>
        <w:spacing w:line="580" w:lineRule="exact"/>
        <w:outlineLvl w:val="2"/>
        <w:rPr>
          <w:rFonts w:hint="eastAsia" w:ascii="华文楷体" w:hAnsi="华文楷体" w:eastAsia="华文楷体" w:cs="华文楷体"/>
          <w:b/>
          <w:bCs/>
          <w:color w:val="auto"/>
          <w:sz w:val="28"/>
          <w:szCs w:val="28"/>
          <w:lang w:val="en-US" w:eastAsia="zh-CN"/>
        </w:rPr>
      </w:pPr>
      <w:r>
        <w:rPr>
          <w:rFonts w:hint="eastAsia" w:ascii="华文楷体" w:hAnsi="华文楷体" w:eastAsia="华文楷体" w:cs="华文楷体"/>
          <w:b/>
          <w:bCs/>
          <w:color w:val="FF0000"/>
          <w:sz w:val="28"/>
          <w:szCs w:val="28"/>
          <w:lang w:val="en-US" w:eastAsia="zh-CN"/>
        </w:rPr>
        <w:t xml:space="preserve">   </w:t>
      </w:r>
      <w:r>
        <w:rPr>
          <w:rFonts w:hint="eastAsia" w:ascii="华文楷体" w:hAnsi="华文楷体" w:eastAsia="华文楷体" w:cs="华文楷体"/>
          <w:b/>
          <w:bCs/>
          <w:color w:val="auto"/>
          <w:sz w:val="28"/>
          <w:szCs w:val="28"/>
          <w:lang w:val="en-US" w:eastAsia="zh-CN"/>
        </w:rPr>
        <w:t xml:space="preserve"> </w:t>
      </w:r>
      <w:bookmarkStart w:id="7" w:name="_Toc22065"/>
      <w:r>
        <w:rPr>
          <w:rFonts w:hint="eastAsia" w:ascii="华文楷体" w:hAnsi="华文楷体" w:eastAsia="华文楷体" w:cs="华文楷体"/>
          <w:b/>
          <w:bCs/>
          <w:color w:val="auto"/>
          <w:sz w:val="28"/>
          <w:szCs w:val="28"/>
          <w:lang w:val="en-US" w:eastAsia="zh-CN"/>
        </w:rPr>
        <w:t>1.1.1 思政贯通</w:t>
      </w:r>
      <w:bookmarkEnd w:id="7"/>
    </w:p>
    <w:p w14:paraId="24040433">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始终坚持做好“立德树人”根本任务，积极构建“三全育人”机制和长效德育工作机制：一是继续实行党总支领导下的校长负责的德育工作管理领导链；二是打造政治处、系部、团委、班主任、德育课教师、心理咨询室等层层负责的德育骨干队伍链；三是构建团委会、社团、班委会的自我教育链。四是构建学校、家庭、社会“三位一体”的育人渠道链；五是构建课堂教育、课外兴趣活动、主题班会以及社会实践为一体的思想教育阵地。</w:t>
      </w:r>
    </w:p>
    <w:p w14:paraId="348FBA40">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遵循《关于加强和改进中等职业学校学生思想道德教育的意见》和《中等职业学校德育大纲》《未成年人保护法》等要求，学校参与德育管理的人员数95人，思想政治课示范课堂数市级2节，扎实推进学校育人工作。以具体活动为载体，围绕“生命、生存、生活、生态”等主题，根据青少年学生身心发展规律，寓德育教育于活动之中，积极开展有益于青少年学生健康成长的科技、文化和体育等校园文化活动，做好学生的德育工作。2025年度结合校园特色文化和重点节日开展爱国主义教育，如《八闽英烈故事》第一辑首发暨第二辑编撰启动仪式在我校举行，2025年“新时代好少年·弘扬抗战精神 赓续红色血脉”主题教育读书活动，纪念抗日战争胜利暨世界反法西斯战争胜利80周年系列活动，开展“爱我国防”主题征文活动和参观红色纪念馆等活动，邀请校党总支书记为学生上思政课,宣讲党的二十届四中全会精神；开展传统文化进校园活动，组织开展以“吟诵经典·传承立志”为主题的经典阅读暨毛泽东诗词吟诵比赛活动，以《重阳佳节，敬老孝亲》为主题的班会课和志愿活动，参加第七届中华经典诵写讲比赛；充分利用泮境实践基地开展社会实践活动，做好“技能成才，强国有我”主题教育活动，积极配合学校做好省市技能大赛活动，以比赛营造、宣扬工匠精神，促进技能成才；同时着力推进劳动教育，每周安排一次的劳动教育课程，组织学生进行劳动实践，配合实训室做好学生的技能实训工作，积极做好垃圾分类工作的宣传教育，树立“劳动光荣”的意识。我校以团委为主，积极组织开展各类社团活动，目前我校已有45个社团活动正常开展，参与学生人数近2000人；我校学生会组织也正常运行，积极配合学校开展各类活动，深入做好“自我教育，自我管理和自我服务”工作，培养出一批责任心强、组织能力强、素质高的学生干部。目前学校保持零犯罪学校，我校有4位学生获得2025年度国家奖学金，有10位学生被评为县级“著名苏区好学生”，全校有400多人次被评为学校“墨斗之星”。</w:t>
      </w:r>
    </w:p>
    <w:p w14:paraId="4EB65087">
      <w:pPr>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drawing>
          <wp:inline distT="0" distB="0" distL="114300" distR="114300">
            <wp:extent cx="5272405" cy="3378835"/>
            <wp:effectExtent l="0" t="0" r="635" b="4445"/>
            <wp:docPr id="2" name="图片 2" descr="微信图片_20250401104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50401104322"/>
                    <pic:cNvPicPr>
                      <a:picLocks noChangeAspect="1"/>
                    </pic:cNvPicPr>
                  </pic:nvPicPr>
                  <pic:blipFill>
                    <a:blip r:embed="rId8"/>
                    <a:stretch>
                      <a:fillRect/>
                    </a:stretch>
                  </pic:blipFill>
                  <pic:spPr>
                    <a:xfrm>
                      <a:off x="0" y="0"/>
                      <a:ext cx="5272405" cy="3378835"/>
                    </a:xfrm>
                    <a:prstGeom prst="rect">
                      <a:avLst/>
                    </a:prstGeom>
                  </pic:spPr>
                </pic:pic>
              </a:graphicData>
            </a:graphic>
          </wp:inline>
        </w:drawing>
      </w:r>
    </w:p>
    <w:p w14:paraId="361A8B37">
      <w:pPr>
        <w:jc w:val="center"/>
        <w:outlineLvl w:val="9"/>
        <w:rPr>
          <w:rFonts w:hint="eastAsia" w:ascii="仿宋" w:hAnsi="仿宋" w:eastAsia="仿宋" w:cs="仿宋"/>
          <w:sz w:val="24"/>
          <w:szCs w:val="24"/>
          <w:lang w:val="en-US" w:eastAsia="zh-CN"/>
        </w:rPr>
      </w:pPr>
    </w:p>
    <w:p w14:paraId="7CC920B4">
      <w:pPr>
        <w:pStyle w:val="24"/>
        <w:bidi w:val="0"/>
        <w:rPr>
          <w:rFonts w:hint="eastAsia"/>
          <w:lang w:val="en-US" w:eastAsia="zh-CN"/>
        </w:rPr>
      </w:pPr>
      <w:bookmarkStart w:id="8" w:name="_Toc9322"/>
      <w:r>
        <w:rPr>
          <w:rFonts w:hint="eastAsia"/>
          <w:lang w:val="en-US" w:eastAsia="zh-CN"/>
        </w:rPr>
        <w:t>图1 《八闽英烈故事》第一辑首发式及内容展</w:t>
      </w:r>
      <w:bookmarkEnd w:id="8"/>
    </w:p>
    <w:p w14:paraId="7719CDFC">
      <w:pPr>
        <w:jc w:val="center"/>
        <w:outlineLvl w:val="9"/>
        <w:rPr>
          <w:rFonts w:hint="eastAsia" w:ascii="仿宋" w:hAnsi="仿宋" w:eastAsia="仿宋" w:cs="仿宋"/>
          <w:sz w:val="24"/>
          <w:szCs w:val="24"/>
          <w:lang w:val="en-US" w:eastAsia="zh-CN"/>
        </w:rPr>
      </w:pPr>
    </w:p>
    <w:p w14:paraId="08E0A4EF">
      <w:pPr>
        <w:jc w:val="both"/>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drawing>
          <wp:inline distT="0" distB="0" distL="114300" distR="114300">
            <wp:extent cx="5232400" cy="4234180"/>
            <wp:effectExtent l="0" t="0" r="10160" b="2540"/>
            <wp:docPr id="3" name="图片 3" descr="微信图片_20250403145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50403145807"/>
                    <pic:cNvPicPr>
                      <a:picLocks noChangeAspect="1"/>
                    </pic:cNvPicPr>
                  </pic:nvPicPr>
                  <pic:blipFill>
                    <a:blip r:embed="rId9"/>
                    <a:stretch>
                      <a:fillRect/>
                    </a:stretch>
                  </pic:blipFill>
                  <pic:spPr>
                    <a:xfrm>
                      <a:off x="0" y="0"/>
                      <a:ext cx="5232400" cy="4234180"/>
                    </a:xfrm>
                    <a:prstGeom prst="rect">
                      <a:avLst/>
                    </a:prstGeom>
                  </pic:spPr>
                </pic:pic>
              </a:graphicData>
            </a:graphic>
          </wp:inline>
        </w:drawing>
      </w:r>
    </w:p>
    <w:p w14:paraId="540D9813">
      <w:pPr>
        <w:jc w:val="center"/>
        <w:outlineLvl w:val="9"/>
        <w:rPr>
          <w:rFonts w:hint="eastAsia" w:ascii="仿宋" w:hAnsi="仿宋" w:eastAsia="仿宋" w:cs="仿宋"/>
          <w:sz w:val="24"/>
          <w:szCs w:val="24"/>
          <w:lang w:val="en-US" w:eastAsia="zh-CN"/>
        </w:rPr>
      </w:pPr>
    </w:p>
    <w:p w14:paraId="2DB5918F">
      <w:pPr>
        <w:pStyle w:val="24"/>
        <w:bidi w:val="0"/>
        <w:rPr>
          <w:rFonts w:hint="eastAsia" w:ascii="仿宋" w:hAnsi="仿宋" w:eastAsia="仿宋" w:cs="仿宋"/>
          <w:sz w:val="24"/>
          <w:szCs w:val="24"/>
          <w:lang w:val="en-US" w:eastAsia="zh-CN"/>
        </w:rPr>
      </w:pPr>
      <w:bookmarkStart w:id="9" w:name="_Toc29883"/>
      <w:r>
        <w:rPr>
          <w:rFonts w:hint="eastAsia" w:ascii="仿宋_GB2312" w:hAnsi="仿宋_GB2312"/>
          <w:lang w:val="en-US" w:eastAsia="zh-CN"/>
        </w:rPr>
        <w:t>图2  团委开展祭奠英烈活动</w:t>
      </w:r>
      <w:bookmarkEnd w:id="9"/>
    </w:p>
    <w:p w14:paraId="62BF1377">
      <w:pPr>
        <w:jc w:val="left"/>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drawing>
          <wp:inline distT="0" distB="0" distL="114300" distR="114300">
            <wp:extent cx="5266690" cy="3711575"/>
            <wp:effectExtent l="0" t="0" r="10160" b="3175"/>
            <wp:docPr id="4" name="图片 4" descr="IMG_20250610_162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0250610_162915"/>
                    <pic:cNvPicPr>
                      <a:picLocks noChangeAspect="1"/>
                    </pic:cNvPicPr>
                  </pic:nvPicPr>
                  <pic:blipFill>
                    <a:blip r:embed="rId10"/>
                    <a:stretch>
                      <a:fillRect/>
                    </a:stretch>
                  </pic:blipFill>
                  <pic:spPr>
                    <a:xfrm>
                      <a:off x="0" y="0"/>
                      <a:ext cx="5266690" cy="3711575"/>
                    </a:xfrm>
                    <a:prstGeom prst="rect">
                      <a:avLst/>
                    </a:prstGeom>
                  </pic:spPr>
                </pic:pic>
              </a:graphicData>
            </a:graphic>
          </wp:inline>
        </w:drawing>
      </w:r>
    </w:p>
    <w:p w14:paraId="6FE21E65">
      <w:pPr>
        <w:jc w:val="center"/>
        <w:outlineLvl w:val="9"/>
        <w:rPr>
          <w:rFonts w:hint="eastAsia" w:ascii="仿宋" w:hAnsi="仿宋" w:eastAsia="仿宋" w:cs="仿宋"/>
          <w:sz w:val="24"/>
          <w:szCs w:val="24"/>
          <w:lang w:val="en-US" w:eastAsia="zh-CN"/>
        </w:rPr>
      </w:pPr>
    </w:p>
    <w:p w14:paraId="34B0E826">
      <w:pPr>
        <w:pStyle w:val="24"/>
        <w:bidi w:val="0"/>
        <w:rPr>
          <w:rFonts w:hint="eastAsia" w:ascii="仿宋" w:hAnsi="仿宋" w:eastAsia="仿宋" w:cs="仿宋"/>
          <w:sz w:val="24"/>
          <w:szCs w:val="24"/>
          <w:lang w:val="en-US" w:eastAsia="zh-CN"/>
        </w:rPr>
      </w:pPr>
      <w:bookmarkStart w:id="10" w:name="_Toc1965"/>
      <w:r>
        <w:rPr>
          <w:rFonts w:hint="eastAsia" w:ascii="仿宋_GB2312" w:hAnsi="仿宋_GB2312"/>
          <w:lang w:val="en-US" w:eastAsia="zh-CN"/>
        </w:rPr>
        <w:t>图3  征兵宣传活动</w:t>
      </w:r>
      <w:bookmarkEnd w:id="10"/>
    </w:p>
    <w:p w14:paraId="31A8A17C">
      <w:pPr>
        <w:jc w:val="left"/>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drawing>
          <wp:inline distT="0" distB="0" distL="114300" distR="114300">
            <wp:extent cx="5266690" cy="3796030"/>
            <wp:effectExtent l="0" t="0" r="6350" b="13970"/>
            <wp:docPr id="8" name="图片 8" descr="微信图片_20251202161133_25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微信图片_20251202161133_25_10"/>
                    <pic:cNvPicPr>
                      <a:picLocks noChangeAspect="1"/>
                    </pic:cNvPicPr>
                  </pic:nvPicPr>
                  <pic:blipFill>
                    <a:blip r:embed="rId11"/>
                    <a:stretch>
                      <a:fillRect/>
                    </a:stretch>
                  </pic:blipFill>
                  <pic:spPr>
                    <a:xfrm>
                      <a:off x="0" y="0"/>
                      <a:ext cx="5266690" cy="3796030"/>
                    </a:xfrm>
                    <a:prstGeom prst="rect">
                      <a:avLst/>
                    </a:prstGeom>
                  </pic:spPr>
                </pic:pic>
              </a:graphicData>
            </a:graphic>
          </wp:inline>
        </w:drawing>
      </w:r>
    </w:p>
    <w:p w14:paraId="7C288BF8">
      <w:pPr>
        <w:jc w:val="center"/>
        <w:outlineLvl w:val="9"/>
        <w:rPr>
          <w:rFonts w:hint="eastAsia" w:ascii="仿宋" w:hAnsi="仿宋" w:eastAsia="仿宋" w:cs="仿宋"/>
          <w:sz w:val="24"/>
          <w:szCs w:val="24"/>
          <w:lang w:val="en-US" w:eastAsia="zh-CN"/>
        </w:rPr>
      </w:pPr>
    </w:p>
    <w:p w14:paraId="7EAFC989">
      <w:pPr>
        <w:pStyle w:val="24"/>
        <w:bidi w:val="0"/>
        <w:rPr>
          <w:rFonts w:hint="eastAsia" w:ascii="仿宋_GB2312" w:hAnsi="仿宋_GB2312"/>
          <w:lang w:val="en-US" w:eastAsia="zh-CN"/>
        </w:rPr>
      </w:pPr>
      <w:bookmarkStart w:id="11" w:name="_Toc31323"/>
      <w:r>
        <w:rPr>
          <w:rFonts w:hint="eastAsia" w:ascii="仿宋_GB2312" w:hAnsi="仿宋_GB2312"/>
          <w:lang w:val="en-US" w:eastAsia="zh-CN"/>
        </w:rPr>
        <w:t>图4 2024年10月上杭县关工委在我校开展德育报告会</w:t>
      </w:r>
      <w:bookmarkEnd w:id="11"/>
    </w:p>
    <w:p w14:paraId="50665551">
      <w:pPr>
        <w:jc w:val="center"/>
        <w:outlineLvl w:val="9"/>
        <w:rPr>
          <w:rFonts w:hint="eastAsia" w:ascii="仿宋" w:hAnsi="仿宋" w:eastAsia="仿宋" w:cs="仿宋"/>
          <w:sz w:val="24"/>
          <w:szCs w:val="24"/>
          <w:lang w:val="en-US" w:eastAsia="zh-CN"/>
        </w:rPr>
      </w:pPr>
    </w:p>
    <w:p w14:paraId="259E243F">
      <w:pPr>
        <w:jc w:val="left"/>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drawing>
          <wp:inline distT="0" distB="0" distL="114300" distR="114300">
            <wp:extent cx="5264785" cy="3947160"/>
            <wp:effectExtent l="0" t="0" r="12065" b="15240"/>
            <wp:docPr id="9" name="图片 9" descr="微信图片_20251106190549_80_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微信图片_20251106190549_80_185"/>
                    <pic:cNvPicPr>
                      <a:picLocks noChangeAspect="1"/>
                    </pic:cNvPicPr>
                  </pic:nvPicPr>
                  <pic:blipFill>
                    <a:blip r:embed="rId12"/>
                    <a:stretch>
                      <a:fillRect/>
                    </a:stretch>
                  </pic:blipFill>
                  <pic:spPr>
                    <a:xfrm>
                      <a:off x="0" y="0"/>
                      <a:ext cx="5264785" cy="3947160"/>
                    </a:xfrm>
                    <a:prstGeom prst="rect">
                      <a:avLst/>
                    </a:prstGeom>
                  </pic:spPr>
                </pic:pic>
              </a:graphicData>
            </a:graphic>
          </wp:inline>
        </w:drawing>
      </w:r>
    </w:p>
    <w:p w14:paraId="44F11791">
      <w:pPr>
        <w:jc w:val="center"/>
        <w:outlineLvl w:val="9"/>
        <w:rPr>
          <w:rFonts w:hint="eastAsia" w:ascii="仿宋" w:hAnsi="仿宋" w:eastAsia="仿宋" w:cs="仿宋"/>
          <w:sz w:val="24"/>
          <w:szCs w:val="24"/>
          <w:lang w:val="en-US" w:eastAsia="zh-CN"/>
        </w:rPr>
      </w:pPr>
    </w:p>
    <w:p w14:paraId="6E8E874D">
      <w:pPr>
        <w:pStyle w:val="24"/>
        <w:bidi w:val="0"/>
        <w:rPr>
          <w:rFonts w:hint="eastAsia"/>
          <w:lang w:val="en-US" w:eastAsia="zh-CN"/>
        </w:rPr>
      </w:pPr>
      <w:r>
        <w:rPr>
          <w:rFonts w:hint="eastAsia"/>
          <w:lang w:val="en-US" w:eastAsia="zh-CN"/>
        </w:rPr>
        <w:t xml:space="preserve"> </w:t>
      </w:r>
      <w:bookmarkStart w:id="12" w:name="_Toc14901"/>
      <w:r>
        <w:rPr>
          <w:rFonts w:hint="eastAsia"/>
          <w:lang w:val="en-US" w:eastAsia="zh-CN"/>
        </w:rPr>
        <w:t>图5 2025年5月组织学生观看《志愿军三》电影活动</w:t>
      </w:r>
      <w:bookmarkEnd w:id="12"/>
    </w:p>
    <w:p w14:paraId="3AB55B35">
      <w:pPr>
        <w:jc w:val="center"/>
        <w:outlineLvl w:val="9"/>
        <w:rPr>
          <w:rFonts w:hint="eastAsia" w:ascii="仿宋" w:hAnsi="仿宋" w:eastAsia="仿宋" w:cs="仿宋"/>
          <w:sz w:val="24"/>
          <w:szCs w:val="24"/>
          <w:lang w:val="en-US" w:eastAsia="zh-CN"/>
        </w:rPr>
      </w:pPr>
    </w:p>
    <w:p w14:paraId="3F69CDE1">
      <w:pPr>
        <w:jc w:val="left"/>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drawing>
          <wp:inline distT="0" distB="0" distL="114300" distR="114300">
            <wp:extent cx="5261610" cy="3945890"/>
            <wp:effectExtent l="0" t="0" r="15240" b="16510"/>
            <wp:docPr id="10" name="图片 10" descr="微信图片_20251203160450_6_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51203160450_6_210"/>
                    <pic:cNvPicPr>
                      <a:picLocks noChangeAspect="1"/>
                    </pic:cNvPicPr>
                  </pic:nvPicPr>
                  <pic:blipFill>
                    <a:blip r:embed="rId13"/>
                    <a:stretch>
                      <a:fillRect/>
                    </a:stretch>
                  </pic:blipFill>
                  <pic:spPr>
                    <a:xfrm>
                      <a:off x="0" y="0"/>
                      <a:ext cx="5261610" cy="3945890"/>
                    </a:xfrm>
                    <a:prstGeom prst="rect">
                      <a:avLst/>
                    </a:prstGeom>
                  </pic:spPr>
                </pic:pic>
              </a:graphicData>
            </a:graphic>
          </wp:inline>
        </w:drawing>
      </w:r>
    </w:p>
    <w:p w14:paraId="597D4CC9">
      <w:pPr>
        <w:jc w:val="center"/>
        <w:outlineLvl w:val="9"/>
        <w:rPr>
          <w:rFonts w:hint="eastAsia" w:ascii="仿宋" w:hAnsi="仿宋" w:eastAsia="仿宋" w:cs="仿宋"/>
          <w:sz w:val="24"/>
          <w:szCs w:val="24"/>
          <w:lang w:val="en-US" w:eastAsia="zh-CN"/>
        </w:rPr>
      </w:pPr>
    </w:p>
    <w:p w14:paraId="00659E11">
      <w:pPr>
        <w:pStyle w:val="24"/>
        <w:bidi w:val="0"/>
        <w:rPr>
          <w:rFonts w:hint="eastAsia" w:ascii="仿宋_GB2312" w:hAnsi="仿宋_GB2312"/>
          <w:lang w:val="en-US" w:eastAsia="zh-CN"/>
        </w:rPr>
      </w:pPr>
      <w:bookmarkStart w:id="13" w:name="_Toc9128"/>
      <w:r>
        <w:rPr>
          <w:rFonts w:hint="eastAsia" w:ascii="仿宋_GB2312" w:hAnsi="仿宋_GB2312"/>
          <w:lang w:val="en-US" w:eastAsia="zh-CN"/>
        </w:rPr>
        <w:t>图6  2025年福建省百场社会科学专题报告会</w:t>
      </w:r>
      <w:bookmarkEnd w:id="13"/>
    </w:p>
    <w:p w14:paraId="5FD9E2E8">
      <w:pPr>
        <w:jc w:val="center"/>
        <w:outlineLvl w:val="9"/>
        <w:rPr>
          <w:rFonts w:hint="eastAsia" w:ascii="仿宋" w:hAnsi="仿宋" w:eastAsia="仿宋" w:cs="仿宋"/>
          <w:sz w:val="24"/>
          <w:szCs w:val="24"/>
          <w:lang w:val="en-US" w:eastAsia="zh-CN"/>
        </w:rPr>
      </w:pPr>
    </w:p>
    <w:p w14:paraId="74B36347">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4785" cy="3900805"/>
            <wp:effectExtent l="0" t="0" r="8255" b="635"/>
            <wp:docPr id="11" name="图片 11" descr="微信图片_20250317172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微信图片_20250317172550"/>
                    <pic:cNvPicPr>
                      <a:picLocks noChangeAspect="1"/>
                    </pic:cNvPicPr>
                  </pic:nvPicPr>
                  <pic:blipFill>
                    <a:blip r:embed="rId14"/>
                    <a:stretch>
                      <a:fillRect/>
                    </a:stretch>
                  </pic:blipFill>
                  <pic:spPr>
                    <a:xfrm>
                      <a:off x="0" y="0"/>
                      <a:ext cx="5264785" cy="3900805"/>
                    </a:xfrm>
                    <a:prstGeom prst="rect">
                      <a:avLst/>
                    </a:prstGeom>
                  </pic:spPr>
                </pic:pic>
              </a:graphicData>
            </a:graphic>
          </wp:inline>
        </w:drawing>
      </w:r>
    </w:p>
    <w:p w14:paraId="0F645787">
      <w:pPr>
        <w:jc w:val="center"/>
        <w:outlineLvl w:val="9"/>
        <w:rPr>
          <w:rFonts w:hint="eastAsia" w:ascii="仿宋" w:hAnsi="仿宋" w:eastAsia="仿宋" w:cs="仿宋"/>
          <w:sz w:val="24"/>
          <w:szCs w:val="24"/>
          <w:lang w:val="en-US" w:eastAsia="zh-CN"/>
        </w:rPr>
      </w:pPr>
    </w:p>
    <w:p w14:paraId="58D9B3EE">
      <w:pPr>
        <w:pStyle w:val="24"/>
        <w:bidi w:val="0"/>
        <w:rPr>
          <w:rFonts w:hint="eastAsia" w:ascii="仿宋" w:hAnsi="仿宋" w:eastAsia="仿宋" w:cs="仿宋"/>
          <w:sz w:val="24"/>
          <w:szCs w:val="24"/>
          <w:lang w:val="en-US" w:eastAsia="zh-CN"/>
        </w:rPr>
      </w:pPr>
      <w:bookmarkStart w:id="14" w:name="_Toc23095"/>
      <w:r>
        <w:rPr>
          <w:rFonts w:hint="eastAsia" w:ascii="仿宋_GB2312" w:hAnsi="仿宋_GB2312"/>
          <w:lang w:val="en-US" w:eastAsia="zh-CN"/>
        </w:rPr>
        <w:t>图7 政治处组织学生参观伍洪祥故居</w:t>
      </w:r>
      <w:bookmarkEnd w:id="14"/>
    </w:p>
    <w:p w14:paraId="5B99D0D8">
      <w:pPr>
        <w:jc w:val="center"/>
        <w:outlineLvl w:val="9"/>
        <w:rPr>
          <w:rFonts w:hint="eastAsia" w:ascii="仿宋" w:hAnsi="仿宋" w:eastAsia="仿宋" w:cs="仿宋"/>
          <w:sz w:val="24"/>
          <w:szCs w:val="24"/>
          <w:lang w:val="en-US" w:eastAsia="zh-CN"/>
        </w:rPr>
      </w:pPr>
    </w:p>
    <w:p w14:paraId="54C78635">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55895" cy="3821430"/>
            <wp:effectExtent l="0" t="0" r="1905" b="7620"/>
            <wp:docPr id="12" name="图片 12" descr="苏区好学生1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苏区好学生1 001"/>
                    <pic:cNvPicPr>
                      <a:picLocks noChangeAspect="1"/>
                    </pic:cNvPicPr>
                  </pic:nvPicPr>
                  <pic:blipFill>
                    <a:blip r:embed="rId15"/>
                    <a:stretch>
                      <a:fillRect/>
                    </a:stretch>
                  </pic:blipFill>
                  <pic:spPr>
                    <a:xfrm>
                      <a:off x="0" y="0"/>
                      <a:ext cx="5255895" cy="3821430"/>
                    </a:xfrm>
                    <a:prstGeom prst="rect">
                      <a:avLst/>
                    </a:prstGeom>
                  </pic:spPr>
                </pic:pic>
              </a:graphicData>
            </a:graphic>
          </wp:inline>
        </w:drawing>
      </w:r>
    </w:p>
    <w:p w14:paraId="354ED2D4">
      <w:pPr>
        <w:pStyle w:val="24"/>
        <w:bidi w:val="0"/>
        <w:rPr>
          <w:rFonts w:hint="eastAsia" w:ascii="仿宋" w:hAnsi="仿宋" w:eastAsia="仿宋" w:cs="仿宋"/>
          <w:sz w:val="24"/>
          <w:szCs w:val="24"/>
          <w:lang w:val="en-US" w:eastAsia="zh-CN"/>
        </w:rPr>
      </w:pPr>
      <w:bookmarkStart w:id="15" w:name="_Toc21508"/>
      <w:r>
        <w:rPr>
          <w:rFonts w:hint="eastAsia" w:ascii="仿宋_GB2312" w:hAnsi="仿宋_GB2312"/>
          <w:lang w:val="en-US" w:eastAsia="zh-CN"/>
        </w:rPr>
        <w:t>图8 我校学生蒋雅琪获2024-2025学年度“著名苏区好学生”奖状</w:t>
      </w:r>
      <w:bookmarkEnd w:id="15"/>
    </w:p>
    <w:p w14:paraId="2465FD44">
      <w:pPr>
        <w:jc w:val="center"/>
        <w:outlineLvl w:val="9"/>
        <w:rPr>
          <w:rFonts w:hint="eastAsia" w:ascii="仿宋" w:hAnsi="仿宋" w:eastAsia="仿宋" w:cs="仿宋"/>
          <w:sz w:val="24"/>
          <w:szCs w:val="24"/>
          <w:lang w:val="en-US" w:eastAsia="zh-CN"/>
        </w:rPr>
      </w:pPr>
    </w:p>
    <w:p w14:paraId="7A0A3F85">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7960" cy="3482340"/>
            <wp:effectExtent l="0" t="0" r="8890" b="3810"/>
            <wp:docPr id="13" name="图片 13" descr="微信图片_20250312095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微信图片_20250312095629"/>
                    <pic:cNvPicPr>
                      <a:picLocks noChangeAspect="1"/>
                    </pic:cNvPicPr>
                  </pic:nvPicPr>
                  <pic:blipFill>
                    <a:blip r:embed="rId16"/>
                    <a:stretch>
                      <a:fillRect/>
                    </a:stretch>
                  </pic:blipFill>
                  <pic:spPr>
                    <a:xfrm>
                      <a:off x="0" y="0"/>
                      <a:ext cx="5267960" cy="3482340"/>
                    </a:xfrm>
                    <a:prstGeom prst="rect">
                      <a:avLst/>
                    </a:prstGeom>
                  </pic:spPr>
                </pic:pic>
              </a:graphicData>
            </a:graphic>
          </wp:inline>
        </w:drawing>
      </w:r>
    </w:p>
    <w:p w14:paraId="56AAF602">
      <w:pPr>
        <w:jc w:val="center"/>
        <w:outlineLvl w:val="9"/>
        <w:rPr>
          <w:rFonts w:hint="eastAsia" w:ascii="仿宋" w:hAnsi="仿宋" w:eastAsia="仿宋" w:cs="仿宋"/>
          <w:sz w:val="24"/>
          <w:szCs w:val="24"/>
          <w:lang w:val="en-US" w:eastAsia="zh-CN"/>
        </w:rPr>
      </w:pPr>
    </w:p>
    <w:p w14:paraId="41598F8A">
      <w:pPr>
        <w:pStyle w:val="24"/>
        <w:bidi w:val="0"/>
        <w:rPr>
          <w:rFonts w:hint="eastAsia" w:ascii="仿宋_GB2312" w:hAnsi="仿宋_GB2312"/>
          <w:lang w:val="en-US" w:eastAsia="zh-CN"/>
        </w:rPr>
      </w:pPr>
      <w:bookmarkStart w:id="16" w:name="_Toc27554"/>
      <w:r>
        <w:rPr>
          <w:rFonts w:hint="eastAsia" w:ascii="仿宋_GB2312" w:hAnsi="仿宋_GB2312"/>
          <w:lang w:val="en-US" w:eastAsia="zh-CN"/>
        </w:rPr>
        <w:t>图9 2025年3月团委组织学生志愿植树活动</w:t>
      </w:r>
      <w:bookmarkEnd w:id="16"/>
    </w:p>
    <w:p w14:paraId="07240374">
      <w:pPr>
        <w:jc w:val="center"/>
        <w:outlineLvl w:val="9"/>
        <w:rPr>
          <w:rFonts w:hint="eastAsia" w:ascii="仿宋" w:hAnsi="仿宋" w:eastAsia="仿宋" w:cs="仿宋"/>
          <w:sz w:val="24"/>
          <w:szCs w:val="24"/>
          <w:lang w:val="en-US" w:eastAsia="zh-CN"/>
        </w:rPr>
      </w:pPr>
    </w:p>
    <w:p w14:paraId="71E7A838">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9865" cy="3691255"/>
            <wp:effectExtent l="0" t="0" r="6985" b="4445"/>
            <wp:docPr id="14" name="图片 14" descr="微信图片_20251030115200_17_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微信图片_20251030115200_17_131"/>
                    <pic:cNvPicPr>
                      <a:picLocks noChangeAspect="1"/>
                    </pic:cNvPicPr>
                  </pic:nvPicPr>
                  <pic:blipFill>
                    <a:blip r:embed="rId17"/>
                    <a:stretch>
                      <a:fillRect/>
                    </a:stretch>
                  </pic:blipFill>
                  <pic:spPr>
                    <a:xfrm>
                      <a:off x="0" y="0"/>
                      <a:ext cx="5269865" cy="3691255"/>
                    </a:xfrm>
                    <a:prstGeom prst="rect">
                      <a:avLst/>
                    </a:prstGeom>
                  </pic:spPr>
                </pic:pic>
              </a:graphicData>
            </a:graphic>
          </wp:inline>
        </w:drawing>
      </w:r>
    </w:p>
    <w:p w14:paraId="4C6AF2C7">
      <w:pPr>
        <w:jc w:val="center"/>
        <w:outlineLvl w:val="9"/>
        <w:rPr>
          <w:rFonts w:hint="eastAsia" w:ascii="仿宋" w:hAnsi="仿宋" w:eastAsia="仿宋" w:cs="仿宋"/>
          <w:sz w:val="24"/>
          <w:szCs w:val="24"/>
          <w:lang w:val="en-US" w:eastAsia="zh-CN"/>
        </w:rPr>
      </w:pPr>
    </w:p>
    <w:p w14:paraId="6BAFC672">
      <w:pPr>
        <w:pStyle w:val="24"/>
        <w:bidi w:val="0"/>
        <w:rPr>
          <w:rFonts w:hint="eastAsia" w:ascii="仿宋" w:hAnsi="仿宋" w:eastAsia="仿宋" w:cs="仿宋"/>
          <w:sz w:val="24"/>
          <w:szCs w:val="24"/>
          <w:lang w:val="en-US" w:eastAsia="zh-CN"/>
        </w:rPr>
      </w:pPr>
      <w:bookmarkStart w:id="17" w:name="_Toc15717"/>
      <w:r>
        <w:rPr>
          <w:rFonts w:hint="eastAsia" w:ascii="仿宋_GB2312" w:hAnsi="仿宋_GB2312"/>
          <w:lang w:val="en-US" w:eastAsia="zh-CN"/>
        </w:rPr>
        <w:t>图10  参加中华经典诵写讲比赛获奖证书</w:t>
      </w:r>
      <w:bookmarkEnd w:id="17"/>
    </w:p>
    <w:p w14:paraId="0159AF01">
      <w:pPr>
        <w:jc w:val="center"/>
        <w:outlineLvl w:val="9"/>
        <w:rPr>
          <w:rFonts w:hint="eastAsia" w:ascii="仿宋" w:hAnsi="仿宋" w:eastAsia="仿宋" w:cs="仿宋"/>
          <w:sz w:val="24"/>
          <w:szCs w:val="24"/>
          <w:lang w:val="en-US" w:eastAsia="zh-CN"/>
        </w:rPr>
      </w:pPr>
    </w:p>
    <w:p w14:paraId="2743C514">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53990" cy="3940175"/>
            <wp:effectExtent l="0" t="0" r="3810" b="3175"/>
            <wp:docPr id="15" name="图片 15" descr="微信图片_20250826151746_229_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微信图片_20250826151746_229_163"/>
                    <pic:cNvPicPr>
                      <a:picLocks noChangeAspect="1"/>
                    </pic:cNvPicPr>
                  </pic:nvPicPr>
                  <pic:blipFill>
                    <a:blip r:embed="rId18"/>
                    <a:stretch>
                      <a:fillRect/>
                    </a:stretch>
                  </pic:blipFill>
                  <pic:spPr>
                    <a:xfrm>
                      <a:off x="0" y="0"/>
                      <a:ext cx="5253990" cy="3940175"/>
                    </a:xfrm>
                    <a:prstGeom prst="rect">
                      <a:avLst/>
                    </a:prstGeom>
                  </pic:spPr>
                </pic:pic>
              </a:graphicData>
            </a:graphic>
          </wp:inline>
        </w:drawing>
      </w:r>
    </w:p>
    <w:p w14:paraId="3AEB7AA6">
      <w:pPr>
        <w:jc w:val="center"/>
        <w:outlineLvl w:val="9"/>
        <w:rPr>
          <w:rFonts w:hint="eastAsia" w:ascii="仿宋" w:hAnsi="仿宋" w:eastAsia="仿宋" w:cs="仿宋"/>
          <w:sz w:val="24"/>
          <w:szCs w:val="24"/>
          <w:lang w:val="en-US" w:eastAsia="zh-CN"/>
        </w:rPr>
      </w:pPr>
    </w:p>
    <w:p w14:paraId="6EB799E0">
      <w:pPr>
        <w:pStyle w:val="24"/>
        <w:bidi w:val="0"/>
        <w:rPr>
          <w:rFonts w:hint="eastAsia" w:ascii="仿宋_GB2312" w:hAnsi="仿宋_GB2312"/>
          <w:lang w:val="en-US" w:eastAsia="zh-CN"/>
        </w:rPr>
      </w:pPr>
      <w:bookmarkStart w:id="18" w:name="_Toc18228"/>
      <w:r>
        <w:rPr>
          <w:rFonts w:hint="eastAsia" w:ascii="仿宋_GB2312" w:hAnsi="仿宋_GB2312"/>
          <w:lang w:val="en-US" w:eastAsia="zh-CN"/>
        </w:rPr>
        <w:t>图11  2024年秋季新生入学军训</w:t>
      </w:r>
      <w:bookmarkEnd w:id="18"/>
    </w:p>
    <w:p w14:paraId="34E01937">
      <w:pPr>
        <w:jc w:val="center"/>
        <w:outlineLvl w:val="9"/>
        <w:rPr>
          <w:rFonts w:hint="eastAsia" w:ascii="仿宋" w:hAnsi="仿宋" w:eastAsia="仿宋" w:cs="仿宋"/>
          <w:sz w:val="24"/>
          <w:szCs w:val="24"/>
          <w:lang w:val="en-US" w:eastAsia="zh-CN"/>
        </w:rPr>
      </w:pPr>
    </w:p>
    <w:p w14:paraId="5ADD0192">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2880" cy="3837305"/>
            <wp:effectExtent l="0" t="0" r="10160" b="3175"/>
            <wp:docPr id="16" name="图片 16" descr="微信图片_20250829113917_49_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微信图片_20250829113917_49_433"/>
                    <pic:cNvPicPr>
                      <a:picLocks noChangeAspect="1"/>
                    </pic:cNvPicPr>
                  </pic:nvPicPr>
                  <pic:blipFill>
                    <a:blip r:embed="rId19"/>
                    <a:stretch>
                      <a:fillRect/>
                    </a:stretch>
                  </pic:blipFill>
                  <pic:spPr>
                    <a:xfrm>
                      <a:off x="0" y="0"/>
                      <a:ext cx="5262880" cy="3837305"/>
                    </a:xfrm>
                    <a:prstGeom prst="rect">
                      <a:avLst/>
                    </a:prstGeom>
                  </pic:spPr>
                </pic:pic>
              </a:graphicData>
            </a:graphic>
          </wp:inline>
        </w:drawing>
      </w:r>
    </w:p>
    <w:p w14:paraId="78929D9E">
      <w:pPr>
        <w:jc w:val="center"/>
        <w:outlineLvl w:val="9"/>
        <w:rPr>
          <w:rFonts w:hint="eastAsia" w:ascii="仿宋" w:hAnsi="仿宋" w:eastAsia="仿宋" w:cs="仿宋"/>
          <w:sz w:val="24"/>
          <w:szCs w:val="24"/>
          <w:lang w:val="en-US" w:eastAsia="zh-CN"/>
        </w:rPr>
      </w:pPr>
    </w:p>
    <w:p w14:paraId="4B2E8D99">
      <w:pPr>
        <w:pStyle w:val="24"/>
        <w:bidi w:val="0"/>
        <w:rPr>
          <w:rFonts w:hint="eastAsia" w:ascii="仿宋_GB2312" w:hAnsi="仿宋_GB2312"/>
          <w:lang w:val="en-US" w:eastAsia="zh-CN"/>
        </w:rPr>
      </w:pPr>
      <w:bookmarkStart w:id="19" w:name="_Toc4529"/>
      <w:r>
        <w:rPr>
          <w:rFonts w:hint="eastAsia" w:ascii="仿宋_GB2312" w:hAnsi="仿宋_GB2312"/>
          <w:lang w:val="en-US" w:eastAsia="zh-CN"/>
        </w:rPr>
        <w:t>图12 2024年10月建筑工程系学生重走红军路活动</w:t>
      </w:r>
      <w:bookmarkEnd w:id="19"/>
    </w:p>
    <w:p w14:paraId="3F3BAE64">
      <w:pPr>
        <w:spacing w:line="580" w:lineRule="exact"/>
        <w:ind w:firstLine="643" w:firstLineChars="200"/>
        <w:outlineLvl w:val="2"/>
        <w:rPr>
          <w:rFonts w:hint="eastAsia" w:ascii="仿宋_GB2312" w:hAnsi="Yu Mincho Light" w:eastAsia="仿宋_GB2312" w:cs="Yu Mincho Light"/>
          <w:b/>
          <w:bCs/>
          <w:sz w:val="32"/>
          <w:lang w:val="en-US" w:eastAsia="zh-CN"/>
        </w:rPr>
      </w:pPr>
      <w:bookmarkStart w:id="20" w:name="_Toc11643"/>
      <w:r>
        <w:rPr>
          <w:rFonts w:hint="eastAsia" w:ascii="仿宋_GB2312" w:hAnsi="Yu Mincho Light" w:eastAsia="仿宋_GB2312" w:cs="Yu Mincho Light"/>
          <w:b/>
          <w:bCs/>
          <w:sz w:val="32"/>
          <w:lang w:val="en-US" w:eastAsia="zh-CN"/>
        </w:rPr>
        <w:t>1.1.2 三全育人</w:t>
      </w:r>
      <w:bookmarkEnd w:id="20"/>
    </w:p>
    <w:p w14:paraId="45F9CA7B">
      <w:pPr>
        <w:pStyle w:val="27"/>
        <w:bidi w:val="0"/>
        <w:spacing w:line="360" w:lineRule="auto"/>
        <w:jc w:val="center"/>
        <w:rPr>
          <w:rFonts w:hint="eastAsia"/>
          <w:lang w:val="en-US" w:eastAsia="zh-CN"/>
        </w:rPr>
      </w:pPr>
      <w:bookmarkStart w:id="21" w:name="_Toc21047"/>
      <w:bookmarkStart w:id="22" w:name="_Toc20586"/>
      <w:r>
        <w:rPr>
          <w:rFonts w:hint="eastAsia"/>
          <w:lang w:val="en-US" w:eastAsia="zh-CN"/>
        </w:rPr>
        <w:t>墨韵飘香润心田 以文育人促发展</w:t>
      </w:r>
      <w:bookmarkEnd w:id="21"/>
      <w:bookmarkEnd w:id="22"/>
    </w:p>
    <w:p w14:paraId="2CC12D2A">
      <w:pPr>
        <w:pStyle w:val="27"/>
        <w:bidi w:val="0"/>
        <w:spacing w:line="360" w:lineRule="auto"/>
        <w:jc w:val="right"/>
        <w:rPr>
          <w:rFonts w:hint="eastAsia"/>
          <w:b/>
          <w:bCs w:val="0"/>
          <w:lang w:val="en-US" w:eastAsia="zh-CN"/>
        </w:rPr>
      </w:pPr>
      <w:bookmarkStart w:id="23" w:name="_Toc4333"/>
      <w:bookmarkStart w:id="24" w:name="_Toc17735"/>
      <w:bookmarkStart w:id="25" w:name="_Toc12140"/>
      <w:r>
        <w:rPr>
          <w:rFonts w:hint="eastAsia"/>
          <w:b/>
          <w:bCs w:val="0"/>
          <w:lang w:val="en-US" w:eastAsia="zh-CN"/>
        </w:rPr>
        <w:t>——“三全育人”典型案例</w:t>
      </w:r>
      <w:bookmarkEnd w:id="23"/>
      <w:bookmarkEnd w:id="24"/>
      <w:bookmarkEnd w:id="25"/>
    </w:p>
    <w:p w14:paraId="08A45F08">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一、实施背景</w:t>
      </w:r>
    </w:p>
    <w:p w14:paraId="685164C2">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习近平总书记强调职业教育的重要作用，《国家职业教育改革实施方案》明确要厚植工匠精神。上杭县作为革命老区和“建筑之乡”，拥有丰富红色文化资源与建筑行业底蕴。福建省上杭职业中专学校立足本土特色，以建筑行业象征“墨斗”为核心，提炼其定方向、弹准绳、蕴文化的精神内涵，针对中职生“缺精神追求、缺职业信仰、缺文化底蕴”的问题，构建“墨斗文化+”育人生态，探索“红色铸魂、匠心立身、文化润心”的三全育人新模式。</w:t>
      </w:r>
    </w:p>
    <w:p w14:paraId="13225FB7">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二、主要做法</w:t>
      </w:r>
    </w:p>
    <w:p w14:paraId="7E011561">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墨香浸润：精神文化建设铸魂</w:t>
      </w:r>
    </w:p>
    <w:p w14:paraId="058BCA34">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 xml:space="preserve">解码墨斗文化内涵：将墨斗精神与社会主义核心价值观深度绑定，墨锥喻坚定理想信念，墨线指法律道德准则，墨仓代表文化素养与公民品德。建设校史馆、墨香书院，收藏地方文献2000余册，开发《闽西红色文化》等校本课程，让文化可感可学。 </w:t>
      </w:r>
    </w:p>
    <w:p w14:paraId="02BF69CB">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深化课程思政融合：秉持“技术标准即道德准则，职业能力即人格修为”理念，专业课中植入思政元素，如《建筑制图》结合技术标准开展诚信与工匠精神教学；文化课将传统训诫转化为职业规范，《弟子规》诵读与实训管理相结合；德育课采用“实物教学+主题研讨”模式，从技能、道德、创新、责任四维度校准学生职业行为。</w:t>
      </w:r>
    </w:p>
    <w:p w14:paraId="1A40825A">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墨线弹准：制度文化建设固本</w:t>
      </w:r>
    </w:p>
    <w:p w14:paraId="72EF1F8F">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创新管理体系：修订《“墨斗文化”核心校园文化实施方案》等制度，推行“教官制+导师制”双轨管理，教官负责日常行为规范巡查，专业教师担任德育导师，为学生制定“一人一策”成长规划。</w:t>
      </w:r>
    </w:p>
    <w:p w14:paraId="316634E1">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改革评价机制：实施“墨斗之星”评价体系，从文明、诚信等10个维度量化考核，设立月度、年度表彰制度，近三年累计评选星级学生1200人次，36人获省级以上荣誉（三）墨韵丰盈：物质文化建设塑形</w:t>
      </w:r>
    </w:p>
    <w:p w14:paraId="4E03584C">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再造文化空间：打造鲁班广场、墨斗亭等“工匠精神地标”，建设建筑文化长廊、传统文化长廊，楼宇以“敬墨楼”等命名，营造沉浸式文化氛围；墨香书院设红色阅读区等功能区域，年均开展读书会60场次。</w:t>
      </w:r>
    </w:p>
    <w:p w14:paraId="0FC2D9F3">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数字赋能升级：建成数字图书馆与“智慧墨斗”文化资源平台，上线VR红色展馆、微课视频300余个，实现线上线下一体化育人。</w:t>
      </w:r>
    </w:p>
    <w:p w14:paraId="5E288CBC">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墨锥定向：活动文化建设赋能</w:t>
      </w:r>
    </w:p>
    <w:p w14:paraId="6026E5F1">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红色基因传承工程：与古田会议纪念馆等共建德育基地，开发“红色研学四课”，开展义务讲解、重走红军路等“行走的思政课”，组织经典诵读与“红军粮仓”劳动教育实践体验课，厚植红色基因。</w:t>
      </w:r>
    </w:p>
    <w:p w14:paraId="5D4995A0">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 工匠精神培育工程：深化校企协同育人，通过企业家讲座、优秀毕业生励志报告、企业实践等活动，浸润企业文化；连续举办七届“鲁班杯”技能大赛，设置墨斗精度挑战等特色项目，累计参赛6200余人次。</w:t>
      </w:r>
    </w:p>
    <w:p w14:paraId="33CC3712">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（五）墨行致远：行为文化建设固效</w:t>
      </w:r>
    </w:p>
    <w:p w14:paraId="62F51088">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1. 日常行为塑形：推行仪容仪表、课堂礼仪等“五维礼仪规范”，实施“21天习惯养成计划”，通过打卡小程序记录成长，学生迟到率下降85%。</w:t>
      </w:r>
    </w:p>
    <w:p w14:paraId="54369C58">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 践行志愿服务：成立“古田小红星”志愿服务队，年均开展红色景点导览、社区维修等活动200余次，服务时长超1万小时，学生刘芳获“福建省红十字会南丁格尔奖”。</w:t>
      </w:r>
    </w:p>
    <w:p w14:paraId="5BCD7A2D">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三、成效与推广</w:t>
      </w:r>
    </w:p>
    <w:p w14:paraId="5A1D04E8">
      <w:pPr>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先后获评“福建省示范性现代职业院校”等多项荣誉，学生近三年获国家级奖项28项、省级荣誉56项，升学率97%，就业对口率91%。形成《“墨斗文化”实施手册》等制度成果，被6所兄弟院校借鉴，建成“闽西职教文化资源库”，收录500余项资源，为区域职业教育提供支撑。</w:t>
      </w:r>
    </w:p>
    <w:p w14:paraId="30C6FAAF">
      <w:pPr>
        <w:spacing w:line="580" w:lineRule="exact"/>
        <w:outlineLvl w:val="1"/>
        <w:rPr>
          <w:rFonts w:hint="default" w:ascii="仿宋_GB2312" w:hAnsi="Yu Mincho Light" w:eastAsia="仿宋_GB2312" w:cs="Yu Mincho Light"/>
          <w:b/>
          <w:bCs/>
          <w:sz w:val="32"/>
          <w:lang w:val="en-US" w:eastAsia="zh-CN"/>
        </w:rPr>
      </w:pPr>
      <w:bookmarkStart w:id="26" w:name="_Toc13414"/>
      <w:r>
        <w:rPr>
          <w:rFonts w:hint="eastAsia" w:ascii="仿宋_GB2312" w:hAnsi="Yu Mincho Light" w:eastAsia="仿宋_GB2312" w:cs="Yu Mincho Light"/>
          <w:b/>
          <w:bCs/>
          <w:sz w:val="32"/>
          <w:lang w:val="en-US" w:eastAsia="zh-CN"/>
        </w:rPr>
        <w:t>1.2多元培养</w:t>
      </w:r>
      <w:bookmarkEnd w:id="26"/>
    </w:p>
    <w:p w14:paraId="657BB7A2">
      <w:pPr>
        <w:spacing w:line="580" w:lineRule="exact"/>
        <w:ind w:firstLine="643" w:firstLineChars="200"/>
        <w:outlineLvl w:val="2"/>
        <w:rPr>
          <w:rFonts w:hint="eastAsia" w:ascii="华文楷体" w:hAnsi="华文楷体" w:eastAsia="华文楷体" w:cs="华文楷体"/>
          <w:b/>
          <w:bCs/>
          <w:color w:val="FF0000"/>
          <w:sz w:val="28"/>
          <w:szCs w:val="28"/>
          <w:lang w:val="en-US" w:eastAsia="zh-CN"/>
        </w:rPr>
      </w:pPr>
      <w:bookmarkStart w:id="27" w:name="_Toc4900"/>
      <w:r>
        <w:rPr>
          <w:rFonts w:hint="eastAsia" w:ascii="仿宋_GB2312" w:hAnsi="Yu Mincho Light" w:eastAsia="仿宋_GB2312" w:cs="Yu Mincho Light"/>
          <w:b/>
          <w:bCs/>
          <w:sz w:val="32"/>
          <w:lang w:val="en-US" w:eastAsia="zh-CN"/>
        </w:rPr>
        <w:t>1.</w:t>
      </w:r>
      <w:r>
        <w:rPr>
          <w:rFonts w:hint="eastAsia" w:ascii="仿宋_GB2312" w:hAnsi="Yu Mincho Light" w:eastAsia="仿宋_GB2312" w:cs="Yu Mincho Light"/>
          <w:b/>
          <w:bCs/>
          <w:sz w:val="32"/>
        </w:rPr>
        <w:t>2.</w:t>
      </w:r>
      <w:bookmarkStart w:id="28" w:name="OLE_LINK3"/>
      <w:r>
        <w:rPr>
          <w:rFonts w:hint="eastAsia" w:ascii="仿宋_GB2312" w:hAnsi="Yu Mincho Light" w:eastAsia="仿宋_GB2312" w:cs="Yu Mincho Light"/>
          <w:b/>
          <w:bCs/>
          <w:sz w:val="32"/>
          <w:lang w:val="en-US" w:eastAsia="zh-CN"/>
        </w:rPr>
        <w:t>1</w:t>
      </w:r>
      <w:bookmarkEnd w:id="28"/>
      <w:r>
        <w:rPr>
          <w:rFonts w:hint="eastAsia" w:ascii="仿宋_GB2312" w:hAnsi="Yu Mincho Light" w:eastAsia="仿宋_GB2312" w:cs="Yu Mincho Light"/>
          <w:b/>
          <w:bCs/>
          <w:sz w:val="32"/>
          <w:lang w:eastAsia="zh-CN"/>
        </w:rPr>
        <w:t>培养方式</w:t>
      </w:r>
      <w:bookmarkEnd w:id="27"/>
    </w:p>
    <w:p w14:paraId="51E063D3">
      <w:pPr>
        <w:spacing w:line="580" w:lineRule="exact"/>
        <w:ind w:firstLine="600" w:firstLineChars="200"/>
        <w:outlineLvl w:val="9"/>
        <w:rPr>
          <w:rFonts w:hint="eastAsia" w:ascii="仿宋" w:hAnsi="仿宋" w:eastAsia="仿宋" w:cs="仿宋"/>
          <w:b/>
          <w:bCs/>
          <w:i w:val="0"/>
          <w:iCs w:val="0"/>
          <w:sz w:val="30"/>
          <w:szCs w:val="30"/>
        </w:rPr>
      </w:pPr>
      <w:r>
        <w:rPr>
          <w:rFonts w:hint="eastAsia" w:ascii="仿宋" w:hAnsi="仿宋" w:eastAsia="仿宋" w:cs="仿宋"/>
          <w:i w:val="0"/>
          <w:iCs w:val="0"/>
          <w:sz w:val="30"/>
          <w:szCs w:val="30"/>
        </w:rPr>
        <w:t>本校以 “课堂革命” 为抓手，突破传统教学模式束缚，创新教学方法与评价体系，推动 “以教师为中心” 向 “以学生为中心” 转变，构建 “理实一体、岗课赛证” 融合的教学新生态。</w:t>
      </w:r>
    </w:p>
    <w:p w14:paraId="0F2CCA2A">
      <w:pPr>
        <w:spacing w:line="580" w:lineRule="exact"/>
        <w:ind w:firstLine="602" w:firstLineChars="200"/>
        <w:outlineLvl w:val="9"/>
        <w:rPr>
          <w:rFonts w:hint="eastAsia" w:ascii="仿宋" w:hAnsi="仿宋" w:eastAsia="仿宋" w:cs="仿宋"/>
          <w:b/>
          <w:bCs/>
          <w:i w:val="0"/>
          <w:iCs w:val="0"/>
          <w:sz w:val="30"/>
          <w:szCs w:val="30"/>
        </w:rPr>
      </w:pPr>
      <w:r>
        <w:rPr>
          <w:rFonts w:hint="eastAsia" w:ascii="仿宋" w:hAnsi="仿宋" w:eastAsia="仿宋" w:cs="仿宋"/>
          <w:b/>
          <w:bCs/>
          <w:i w:val="0"/>
          <w:iCs w:val="0"/>
          <w:sz w:val="30"/>
          <w:szCs w:val="30"/>
        </w:rPr>
        <w:t>教学方法创新</w:t>
      </w:r>
    </w:p>
    <w:p w14:paraId="297D67ED">
      <w:pPr>
        <w:spacing w:line="580" w:lineRule="exact"/>
        <w:ind w:firstLine="600" w:firstLineChars="200"/>
        <w:outlineLvl w:val="9"/>
        <w:rPr>
          <w:rFonts w:hint="eastAsia" w:ascii="仿宋" w:hAnsi="仿宋" w:eastAsia="仿宋" w:cs="仿宋"/>
          <w:i w:val="0"/>
          <w:iCs w:val="0"/>
          <w:sz w:val="30"/>
          <w:szCs w:val="30"/>
        </w:rPr>
      </w:pPr>
      <w:r>
        <w:rPr>
          <w:rFonts w:hint="eastAsia" w:ascii="仿宋" w:hAnsi="仿宋" w:eastAsia="仿宋" w:cs="仿宋"/>
          <w:i w:val="0"/>
          <w:iCs w:val="0"/>
          <w:sz w:val="30"/>
          <w:szCs w:val="30"/>
        </w:rPr>
        <w:t xml:space="preserve">1.项目化教学推广：在建筑工程、机电技术等专业全面推行项目化教学，将企业真实项目拆解为教学任务。2025 学年，实施项目化教学课程达 </w:t>
      </w:r>
      <w:r>
        <w:rPr>
          <w:rFonts w:hint="eastAsia" w:ascii="仿宋" w:hAnsi="仿宋" w:eastAsia="仿宋" w:cs="仿宋"/>
          <w:i w:val="0"/>
          <w:iCs w:val="0"/>
          <w:sz w:val="30"/>
          <w:szCs w:val="30"/>
          <w:lang w:val="en-US" w:eastAsia="zh-CN"/>
        </w:rPr>
        <w:t>3</w:t>
      </w:r>
      <w:r>
        <w:rPr>
          <w:rFonts w:hint="eastAsia" w:ascii="仿宋" w:hAnsi="仿宋" w:eastAsia="仿宋" w:cs="仿宋"/>
          <w:i w:val="0"/>
          <w:iCs w:val="0"/>
          <w:sz w:val="30"/>
          <w:szCs w:val="30"/>
        </w:rPr>
        <w:t>6 门，较 2024 年提升 15 个百分点。</w:t>
      </w:r>
    </w:p>
    <w:p w14:paraId="5CBBE60C">
      <w:pPr>
        <w:spacing w:line="580" w:lineRule="exact"/>
        <w:ind w:firstLine="600" w:firstLineChars="200"/>
        <w:outlineLvl w:val="9"/>
        <w:rPr>
          <w:rFonts w:hint="eastAsia" w:ascii="仿宋" w:hAnsi="仿宋" w:eastAsia="仿宋" w:cs="仿宋"/>
          <w:i w:val="0"/>
          <w:iCs w:val="0"/>
          <w:sz w:val="30"/>
          <w:szCs w:val="30"/>
          <w:lang w:eastAsia="zh-CN"/>
        </w:rPr>
      </w:pPr>
      <w:r>
        <w:rPr>
          <w:rFonts w:hint="eastAsia" w:ascii="仿宋" w:hAnsi="仿宋" w:eastAsia="仿宋" w:cs="仿宋"/>
          <w:i w:val="0"/>
          <w:iCs w:val="0"/>
          <w:sz w:val="30"/>
          <w:szCs w:val="30"/>
          <w:lang w:val="en-US" w:eastAsia="zh-CN"/>
        </w:rPr>
        <w:t>2.</w:t>
      </w:r>
      <w:r>
        <w:rPr>
          <w:rFonts w:hint="eastAsia" w:ascii="仿宋" w:hAnsi="仿宋" w:eastAsia="仿宋" w:cs="仿宋"/>
          <w:i w:val="0"/>
          <w:iCs w:val="0"/>
          <w:sz w:val="30"/>
          <w:szCs w:val="30"/>
        </w:rPr>
        <w:t>虚拟仿真教学应用：依托省级装配式建筑虚拟仿真实训基地、工程材料检测生产性实训基地，</w:t>
      </w:r>
      <w:r>
        <w:rPr>
          <w:rFonts w:hint="eastAsia" w:ascii="仿宋" w:hAnsi="仿宋" w:eastAsia="仿宋" w:cs="仿宋"/>
          <w:i w:val="0"/>
          <w:iCs w:val="0"/>
          <w:sz w:val="30"/>
          <w:szCs w:val="30"/>
          <w:lang w:val="en-US" w:eastAsia="zh-CN"/>
        </w:rPr>
        <w:t>积极</w:t>
      </w:r>
      <w:r>
        <w:rPr>
          <w:rFonts w:hint="eastAsia" w:ascii="仿宋" w:hAnsi="仿宋" w:eastAsia="仿宋" w:cs="仿宋"/>
          <w:i w:val="0"/>
          <w:iCs w:val="0"/>
          <w:sz w:val="30"/>
          <w:szCs w:val="30"/>
        </w:rPr>
        <w:t>开发虚拟仿真教学项目。2025 年，学生通过虚拟仿真平台完成实训时长平均达 60 小时 / 学期，较 2024 年增长 42%，有效解决传统实训 “高成本、高风险、难重复” 问题</w:t>
      </w:r>
      <w:r>
        <w:rPr>
          <w:rFonts w:hint="eastAsia" w:ascii="仿宋" w:hAnsi="仿宋" w:eastAsia="仿宋" w:cs="仿宋"/>
          <w:i w:val="0"/>
          <w:iCs w:val="0"/>
          <w:sz w:val="30"/>
          <w:szCs w:val="30"/>
          <w:lang w:eastAsia="zh-CN"/>
        </w:rPr>
        <w:t>。</w:t>
      </w:r>
    </w:p>
    <w:p w14:paraId="6EA7BA04">
      <w:pPr>
        <w:pageBreakBefore w:val="0"/>
        <w:widowControl/>
        <w:tabs>
          <w:tab w:val="left" w:pos="0"/>
        </w:tabs>
        <w:kinsoku/>
        <w:wordWrap/>
        <w:overflowPunct/>
        <w:topLinePunct w:val="0"/>
        <w:autoSpaceDE/>
        <w:autoSpaceDN/>
        <w:bidi w:val="0"/>
        <w:adjustRightInd/>
        <w:snapToGrid/>
        <w:spacing w:line="480" w:lineRule="exact"/>
        <w:ind w:firstLine="602" w:firstLineChars="200"/>
        <w:textAlignment w:val="auto"/>
        <w:outlineLvl w:val="9"/>
        <w:rPr>
          <w:rFonts w:hint="default" w:ascii="仿宋" w:hAnsi="仿宋" w:eastAsia="仿宋" w:cs="仿宋"/>
          <w:b/>
          <w:bCs w:val="0"/>
          <w:i w:val="0"/>
          <w:iCs w:val="0"/>
          <w:sz w:val="30"/>
          <w:szCs w:val="30"/>
          <w:lang w:val="en-US" w:eastAsia="zh-CN"/>
        </w:rPr>
      </w:pPr>
      <w:r>
        <w:rPr>
          <w:rFonts w:hint="default" w:ascii="仿宋" w:hAnsi="仿宋" w:eastAsia="仿宋" w:cs="仿宋"/>
          <w:b/>
          <w:bCs w:val="0"/>
          <w:i w:val="0"/>
          <w:iCs w:val="0"/>
          <w:sz w:val="30"/>
          <w:szCs w:val="30"/>
          <w:lang w:val="en-US" w:eastAsia="zh-CN"/>
        </w:rPr>
        <w:t>教学评价改革</w:t>
      </w:r>
    </w:p>
    <w:p w14:paraId="08E6D65C">
      <w:pPr>
        <w:pageBreakBefore w:val="0"/>
        <w:widowControl/>
        <w:tabs>
          <w:tab w:val="left" w:pos="0"/>
        </w:tabs>
        <w:kinsoku/>
        <w:wordWrap/>
        <w:overflowPunct/>
        <w:topLinePunct w:val="0"/>
        <w:autoSpaceDE/>
        <w:autoSpaceDN/>
        <w:bidi w:val="0"/>
        <w:adjustRightInd/>
        <w:snapToGrid/>
        <w:spacing w:line="480" w:lineRule="exact"/>
        <w:ind w:firstLine="600" w:firstLineChars="200"/>
        <w:textAlignment w:val="auto"/>
        <w:outlineLvl w:val="9"/>
        <w:rPr>
          <w:rFonts w:hint="default"/>
          <w:b/>
          <w:bCs/>
          <w:sz w:val="24"/>
          <w:szCs w:val="24"/>
          <w:lang w:val="en-US" w:eastAsia="zh-CN"/>
        </w:rPr>
      </w:pPr>
      <w:r>
        <w:rPr>
          <w:rFonts w:hint="default" w:ascii="仿宋" w:hAnsi="仿宋" w:eastAsia="仿宋" w:cs="仿宋"/>
          <w:i w:val="0"/>
          <w:iCs w:val="0"/>
          <w:sz w:val="30"/>
          <w:szCs w:val="30"/>
          <w:lang w:val="en-US" w:eastAsia="zh-CN"/>
        </w:rPr>
        <w:t xml:space="preserve">构建 “过程性评价 + 终结性评价 + 企业评价” 三维评价体系，将实训操作、项目成果、1+X 证书等纳入评价内容。2025 年，实施三维评价课程达 </w:t>
      </w:r>
      <w:r>
        <w:rPr>
          <w:rFonts w:hint="eastAsia" w:ascii="仿宋" w:hAnsi="仿宋" w:eastAsia="仿宋" w:cs="仿宋"/>
          <w:i w:val="0"/>
          <w:iCs w:val="0"/>
          <w:sz w:val="30"/>
          <w:szCs w:val="30"/>
          <w:lang w:val="en-US" w:eastAsia="zh-CN"/>
        </w:rPr>
        <w:t>5</w:t>
      </w:r>
      <w:r>
        <w:rPr>
          <w:rFonts w:hint="default" w:ascii="仿宋" w:hAnsi="仿宋" w:eastAsia="仿宋" w:cs="仿宋"/>
          <w:i w:val="0"/>
          <w:iCs w:val="0"/>
          <w:sz w:val="30"/>
          <w:szCs w:val="30"/>
          <w:lang w:val="en-US" w:eastAsia="zh-CN"/>
        </w:rPr>
        <w:t>3 门，占比 31.4%，较 2024 年提升 12 个百分点。例如，机电技术应用专业引入企业师傅参与学生实习评价，企业评价权重占 40%，2025 年该专业毕业生企业满意度达 97%，较 2024 年提升 6 个百分点。</w:t>
      </w:r>
    </w:p>
    <w:p w14:paraId="7BD94BB9">
      <w:pPr>
        <w:pStyle w:val="39"/>
        <w:bidi w:val="0"/>
        <w:rPr>
          <w:rFonts w:hint="default"/>
          <w:lang w:val="en-US" w:eastAsia="zh-CN"/>
        </w:rPr>
      </w:pPr>
      <w:bookmarkStart w:id="29" w:name="_Toc26054"/>
      <w:r>
        <w:rPr>
          <w:rFonts w:hint="default"/>
          <w:lang w:val="en-US" w:eastAsia="zh-CN"/>
        </w:rPr>
        <w:t>表</w:t>
      </w:r>
      <w:r>
        <w:rPr>
          <w:rFonts w:hint="eastAsia"/>
          <w:lang w:val="en-US" w:eastAsia="zh-CN"/>
        </w:rPr>
        <w:t xml:space="preserve">1  </w:t>
      </w:r>
      <w:r>
        <w:rPr>
          <w:rFonts w:hint="default"/>
          <w:lang w:val="en-US" w:eastAsia="zh-CN"/>
        </w:rPr>
        <w:t>2024-2025 学年教学改革核心指标变化表</w:t>
      </w:r>
      <w:bookmarkEnd w:id="29"/>
    </w:p>
    <w:tbl>
      <w:tblPr>
        <w:tblStyle w:val="19"/>
        <w:tblW w:w="0" w:type="auto"/>
        <w:jc w:val="center"/>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792"/>
        <w:gridCol w:w="1519"/>
        <w:gridCol w:w="1519"/>
        <w:gridCol w:w="1872"/>
      </w:tblGrid>
      <w:tr w14:paraId="45F3D605">
        <w:tblPrEx>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trHeight w:val="857" w:hRule="atLeast"/>
          <w:tblHeader/>
          <w:jc w:val="center"/>
        </w:trPr>
        <w:tc>
          <w:tcPr>
            <w:tcW w:w="0" w:type="auto"/>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7C172F1B">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指标</w:t>
            </w:r>
          </w:p>
        </w:tc>
        <w:tc>
          <w:tcPr>
            <w:tcW w:w="0" w:type="auto"/>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566BD4B5">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2024 学年</w:t>
            </w:r>
          </w:p>
        </w:tc>
        <w:tc>
          <w:tcPr>
            <w:tcW w:w="0" w:type="auto"/>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44382324">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2025 学年</w:t>
            </w:r>
          </w:p>
        </w:tc>
        <w:tc>
          <w:tcPr>
            <w:tcW w:w="0" w:type="auto"/>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3BA41A8B">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增幅</w:t>
            </w:r>
          </w:p>
        </w:tc>
      </w:tr>
      <w:tr w14:paraId="222F30E5">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450F5DF6">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项目化教学课程占比（%）</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35375B3D">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53</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6712DA7">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68</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0E23D5A">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15 个百分点</w:t>
            </w:r>
          </w:p>
        </w:tc>
      </w:tr>
      <w:tr w14:paraId="12DD4251">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02618151">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虚拟仿真教学项目数（个）</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3DC69F83">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18</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692EB011">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32</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78B039EC">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77.8%</w:t>
            </w:r>
          </w:p>
        </w:tc>
      </w:tr>
      <w:tr w14:paraId="52CADD79">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45185F6B">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智慧教室覆盖率（%）</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72D68372">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85</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1E923BB">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100</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63C293FB">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15 个百分点</w:t>
            </w:r>
          </w:p>
        </w:tc>
      </w:tr>
      <w:tr w14:paraId="5F6D4427">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49F56B39">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分层教学课程学生合格率（%）</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74DE8052">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93</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78671073">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98.5</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2CF2647D">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5.5 个百分点</w:t>
            </w:r>
          </w:p>
        </w:tc>
      </w:tr>
      <w:tr w14:paraId="36DCB10B">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shd w:val="clear" w:color="auto" w:fill="auto"/>
          <w:tblCellMar>
            <w:top w:w="0" w:type="dxa"/>
            <w:left w:w="0" w:type="dxa"/>
            <w:bottom w:w="0" w:type="dxa"/>
            <w:right w:w="0"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7EC0472">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三维评价体系覆盖课程数（门）</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368B6822">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65</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64C6376E">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103</w:t>
            </w:r>
          </w:p>
        </w:tc>
        <w:tc>
          <w:tcPr>
            <w:tcW w:w="0" w:type="auto"/>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520FD4AA">
            <w:pPr>
              <w:keepNext w:val="0"/>
              <w:keepLines w:val="0"/>
              <w:widowControl/>
              <w:suppressLineNumbers w:val="0"/>
              <w:spacing w:before="0" w:beforeAutospacing="0" w:after="0" w:afterAutospacing="0" w:line="336" w:lineRule="atLeast"/>
              <w:ind w:left="0" w:right="0" w:firstLine="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58.5%</w:t>
            </w:r>
          </w:p>
        </w:tc>
      </w:tr>
    </w:tbl>
    <w:p w14:paraId="6D5F49DE">
      <w:pPr>
        <w:spacing w:line="580" w:lineRule="exact"/>
        <w:outlineLvl w:val="9"/>
        <w:rPr>
          <w:rFonts w:hint="eastAsia" w:ascii="华文楷体" w:hAnsi="华文楷体" w:eastAsia="华文楷体" w:cs="华文楷体"/>
          <w:b/>
          <w:bCs/>
          <w:color w:val="FF0000"/>
          <w:sz w:val="28"/>
          <w:szCs w:val="28"/>
          <w:lang w:val="en-US" w:eastAsia="zh-CN"/>
        </w:rPr>
      </w:pPr>
    </w:p>
    <w:p w14:paraId="111B42FF">
      <w:pPr>
        <w:spacing w:line="580" w:lineRule="exact"/>
        <w:ind w:firstLine="643" w:firstLineChars="200"/>
        <w:outlineLvl w:val="9"/>
        <w:rPr>
          <w:rFonts w:hint="eastAsia" w:ascii="华文楷体" w:hAnsi="华文楷体" w:eastAsia="华文楷体" w:cs="华文楷体"/>
          <w:b/>
          <w:bCs/>
          <w:color w:val="FF0000"/>
          <w:sz w:val="28"/>
          <w:szCs w:val="28"/>
          <w:lang w:val="en-US" w:eastAsia="zh-CN"/>
        </w:rPr>
      </w:pPr>
      <w:r>
        <w:rPr>
          <w:rFonts w:hint="eastAsia" w:ascii="仿宋_GB2312" w:hAnsi="Yu Mincho Light" w:eastAsia="仿宋_GB2312" w:cs="Yu Mincho Light"/>
          <w:b/>
          <w:bCs/>
          <w:sz w:val="32"/>
        </w:rPr>
        <w:t>信息化建设</w:t>
      </w:r>
      <w:bookmarkStart w:id="30" w:name="heading_1"/>
    </w:p>
    <w:bookmarkEnd w:id="30"/>
    <w:p w14:paraId="473B087C">
      <w:pPr>
        <w:numPr>
          <w:ilvl w:val="0"/>
          <w:numId w:val="0"/>
        </w:numPr>
        <w:spacing w:line="580" w:lineRule="exact"/>
        <w:ind w:firstLine="600" w:firstLineChars="200"/>
        <w:outlineLvl w:val="9"/>
        <w:rPr>
          <w:rFonts w:hint="eastAsia" w:ascii="仿宋" w:hAnsi="仿宋" w:eastAsia="仿宋" w:cs="仿宋"/>
          <w:i w:val="0"/>
          <w:iCs w:val="0"/>
          <w:sz w:val="30"/>
          <w:szCs w:val="30"/>
        </w:rPr>
      </w:pPr>
      <w:r>
        <w:rPr>
          <w:rFonts w:hint="eastAsia" w:ascii="仿宋" w:hAnsi="仿宋" w:eastAsia="仿宋" w:cs="仿宋"/>
          <w:i w:val="0"/>
          <w:iCs w:val="0"/>
          <w:sz w:val="30"/>
          <w:szCs w:val="30"/>
        </w:rPr>
        <w:t>为主动适配教育数字化转型要求，学校成立以书记为组长的数字校园建设项目领导小组，经全域调研完成科学顶层设计，严格遵循“整体规划、分步实施、同步应用、持续优化”原则，系统性推进数字校园建设。从信息化资源升级、基础设施完善、师生素养提升三大维度发力，构建“教学数字化、管理智能化、服务便捷化”的数字校园生态，全面提升办学治校水平与人才培养质量</w:t>
      </w:r>
      <w:r>
        <w:rPr>
          <w:rFonts w:hint="eastAsia" w:ascii="仿宋" w:hAnsi="仿宋" w:eastAsia="仿宋" w:cs="仿宋"/>
          <w:i w:val="0"/>
          <w:iCs w:val="0"/>
          <w:sz w:val="30"/>
          <w:szCs w:val="30"/>
          <w:lang w:val="en-US" w:eastAsia="zh-CN"/>
        </w:rPr>
        <w:t>,</w:t>
      </w:r>
      <w:r>
        <w:rPr>
          <w:rFonts w:hint="eastAsia" w:ascii="仿宋" w:hAnsi="仿宋" w:eastAsia="仿宋" w:cs="仿宋"/>
          <w:i w:val="0"/>
          <w:iCs w:val="0"/>
          <w:color w:val="auto"/>
          <w:sz w:val="30"/>
          <w:szCs w:val="30"/>
          <w:lang w:val="en-US" w:eastAsia="zh-CN"/>
        </w:rPr>
        <w:t>其中“智慧赋能、数据驱动，构建现代化院校治理体系”入选2025年全省职业教育改革发展典型案例。</w:t>
      </w:r>
    </w:p>
    <w:p w14:paraId="6CFE49AB">
      <w:pPr>
        <w:keepNext w:val="0"/>
        <w:keepLines w:val="0"/>
        <w:pageBreakBefore w:val="0"/>
        <w:widowControl/>
        <w:tabs>
          <w:tab w:val="left" w:pos="0"/>
        </w:tabs>
        <w:kinsoku/>
        <w:wordWrap/>
        <w:overflowPunct/>
        <w:topLinePunct w:val="0"/>
        <w:autoSpaceDE/>
        <w:autoSpaceDN/>
        <w:bidi w:val="0"/>
        <w:adjustRightInd/>
        <w:snapToGrid/>
        <w:spacing w:line="480" w:lineRule="exact"/>
        <w:ind w:left="420" w:leftChars="200" w:firstLine="300" w:firstLineChars="100"/>
        <w:textAlignment w:val="auto"/>
        <w:outlineLvl w:val="9"/>
        <w:rPr>
          <w:rFonts w:hint="eastAsia" w:ascii="仿宋" w:hAnsi="仿宋" w:eastAsia="仿宋" w:cs="仿宋"/>
          <w:i w:val="0"/>
          <w:iCs w:val="0"/>
          <w:sz w:val="30"/>
          <w:szCs w:val="30"/>
        </w:rPr>
      </w:pPr>
      <w:bookmarkStart w:id="31" w:name="heading_3"/>
      <w:r>
        <w:rPr>
          <w:rFonts w:hint="eastAsia" w:ascii="仿宋" w:hAnsi="仿宋" w:eastAsia="仿宋" w:cs="仿宋"/>
          <w:i w:val="0"/>
          <w:iCs w:val="0"/>
          <w:sz w:val="30"/>
          <w:szCs w:val="30"/>
          <w:lang w:val="en-US" w:eastAsia="zh-CN"/>
        </w:rPr>
        <w:t>1.</w:t>
      </w:r>
      <w:r>
        <w:rPr>
          <w:rFonts w:hint="eastAsia" w:ascii="仿宋" w:hAnsi="仿宋" w:eastAsia="仿宋" w:cs="仿宋"/>
          <w:i w:val="0"/>
          <w:iCs w:val="0"/>
          <w:sz w:val="30"/>
          <w:szCs w:val="30"/>
        </w:rPr>
        <w:t>数字化资源升级：全链条教学管理覆盖</w:t>
      </w:r>
      <w:bookmarkEnd w:id="31"/>
    </w:p>
    <w:p w14:paraId="142B4FD8">
      <w:pPr>
        <w:pageBreakBefore w:val="0"/>
        <w:widowControl/>
        <w:tabs>
          <w:tab w:val="left" w:pos="0"/>
        </w:tabs>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i w:val="0"/>
          <w:iCs w:val="0"/>
          <w:sz w:val="30"/>
          <w:szCs w:val="30"/>
        </w:rPr>
      </w:pPr>
      <w:r>
        <w:rPr>
          <w:rFonts w:hint="eastAsia" w:ascii="仿宋" w:hAnsi="仿宋" w:eastAsia="仿宋" w:cs="仿宋"/>
          <w:i w:val="0"/>
          <w:iCs w:val="0"/>
          <w:sz w:val="30"/>
          <w:szCs w:val="30"/>
        </w:rPr>
        <w:t>聚焦教育教学核心场景，构建全流程数字化管理体系，实现教学运行与管理高效协同。</w:t>
      </w:r>
    </w:p>
    <w:p w14:paraId="02E70223">
      <w:pPr>
        <w:pStyle w:val="6"/>
        <w:ind w:left="0" w:leftChars="0" w:firstLine="0" w:firstLineChars="0"/>
        <w:jc w:val="both"/>
        <w:outlineLvl w:val="9"/>
        <w:rPr>
          <w:rFonts w:hint="eastAsia" w:ascii="仿宋" w:hAnsi="仿宋" w:eastAsia="仿宋" w:cs="仿宋"/>
          <w:b/>
          <w:bCs/>
          <w:i w:val="0"/>
          <w:iCs w:val="0"/>
          <w:sz w:val="24"/>
          <w:szCs w:val="24"/>
          <w:lang w:eastAsia="zh-CN"/>
        </w:rPr>
      </w:pPr>
    </w:p>
    <w:p w14:paraId="778A2E6E">
      <w:pPr>
        <w:pStyle w:val="39"/>
        <w:bidi w:val="0"/>
        <w:rPr>
          <w:rFonts w:hint="default"/>
          <w:lang w:val="en-US" w:eastAsia="zh-CN"/>
        </w:rPr>
      </w:pPr>
      <w:bookmarkStart w:id="32" w:name="_Toc26304"/>
      <w:r>
        <w:rPr>
          <w:rFonts w:hint="eastAsia"/>
          <w:lang w:val="en-US" w:eastAsia="zh-CN"/>
        </w:rPr>
        <w:t>表2  上杭职专学校信息系统汇总表</w:t>
      </w:r>
      <w:bookmarkEnd w:id="32"/>
    </w:p>
    <w:tbl>
      <w:tblPr>
        <w:tblStyle w:val="19"/>
        <w:tblW w:w="8530" w:type="dxa"/>
        <w:jc w:val="center"/>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autofit"/>
        <w:tblCellMar>
          <w:top w:w="0" w:type="dxa"/>
          <w:left w:w="10" w:type="dxa"/>
          <w:bottom w:w="0" w:type="dxa"/>
          <w:right w:w="10" w:type="dxa"/>
        </w:tblCellMar>
      </w:tblPr>
      <w:tblGrid>
        <w:gridCol w:w="1580"/>
        <w:gridCol w:w="2770"/>
        <w:gridCol w:w="1220"/>
        <w:gridCol w:w="2960"/>
      </w:tblGrid>
      <w:tr w14:paraId="6670B22F">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tblHeader/>
          <w:jc w:val="center"/>
        </w:trPr>
        <w:tc>
          <w:tcPr>
            <w:tcW w:w="158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0D308C0">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系统类别</w:t>
            </w:r>
          </w:p>
        </w:tc>
        <w:tc>
          <w:tcPr>
            <w:tcW w:w="277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3E9C3132">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部署系统名称</w:t>
            </w:r>
          </w:p>
        </w:tc>
        <w:tc>
          <w:tcPr>
            <w:tcW w:w="122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FE7C223">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应用场景</w:t>
            </w:r>
          </w:p>
        </w:tc>
        <w:tc>
          <w:tcPr>
            <w:tcW w:w="296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312FCE2B">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建设成效</w:t>
            </w:r>
          </w:p>
        </w:tc>
      </w:tr>
      <w:tr w14:paraId="06D059EE">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58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03392445">
            <w:pPr>
              <w:snapToGrid w:val="0"/>
              <w:spacing w:before="120" w:after="12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sz w:val="24"/>
                <w:szCs w:val="24"/>
              </w:rPr>
              <w:t>教学核心系统</w:t>
            </w:r>
          </w:p>
        </w:tc>
        <w:tc>
          <w:tcPr>
            <w:tcW w:w="277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0CE77FCB">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教务管理、教学资源、排课授课、在线备课系统</w:t>
            </w:r>
          </w:p>
        </w:tc>
        <w:tc>
          <w:tcPr>
            <w:tcW w:w="122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27FC17E1">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日常教学、资源共享、课程安排</w:t>
            </w:r>
          </w:p>
        </w:tc>
        <w:tc>
          <w:tcPr>
            <w:tcW w:w="296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6C2CD244">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教学流程数字化覆盖率100%，教师备课效率提升40%，优质教学资源共享率达95%</w:t>
            </w:r>
          </w:p>
        </w:tc>
      </w:tr>
      <w:tr w14:paraId="32896D17">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58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7DBB488">
            <w:pPr>
              <w:snapToGrid w:val="0"/>
              <w:spacing w:before="120" w:after="12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sz w:val="24"/>
                <w:szCs w:val="24"/>
              </w:rPr>
              <w:t>学生管理系统</w:t>
            </w:r>
          </w:p>
        </w:tc>
        <w:tc>
          <w:tcPr>
            <w:tcW w:w="277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2790B79A">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考勤管理、毕业就业、顶岗实习、学生请假系统</w:t>
            </w:r>
          </w:p>
        </w:tc>
        <w:tc>
          <w:tcPr>
            <w:tcW w:w="122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C62C84F">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学生日常管理、实习就业跟踪</w:t>
            </w:r>
          </w:p>
        </w:tc>
        <w:tc>
          <w:tcPr>
            <w:tcW w:w="296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3BE25144">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学生请假审批时长从2天缩短至4小时，顶岗实习跟踪覆盖率100%</w:t>
            </w:r>
          </w:p>
        </w:tc>
      </w:tr>
      <w:tr w14:paraId="006754D1">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58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6937279">
            <w:pPr>
              <w:snapToGrid w:val="0"/>
              <w:spacing w:before="120" w:after="12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sz w:val="24"/>
                <w:szCs w:val="24"/>
              </w:rPr>
              <w:t>安全防护系统</w:t>
            </w:r>
          </w:p>
        </w:tc>
        <w:tc>
          <w:tcPr>
            <w:tcW w:w="277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CDFF627">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绿盟防火墙、深信服杀毒系统、人脸识别设备、监控与防翻越系统</w:t>
            </w:r>
          </w:p>
        </w:tc>
        <w:tc>
          <w:tcPr>
            <w:tcW w:w="122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B9D5D17">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网络安全、校园安防</w:t>
            </w:r>
          </w:p>
        </w:tc>
        <w:tc>
          <w:tcPr>
            <w:tcW w:w="2960"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FC9DB0F">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通过信息安全等级保护二级测评，校园安全事故发生率为0，服务器稳定运行率99.9%</w:t>
            </w:r>
          </w:p>
        </w:tc>
      </w:tr>
    </w:tbl>
    <w:p w14:paraId="50C6ACAE">
      <w:pPr>
        <w:spacing w:before="120" w:after="120" w:line="288" w:lineRule="auto"/>
        <w:ind w:left="0"/>
        <w:jc w:val="left"/>
        <w:outlineLvl w:val="9"/>
        <w:rPr>
          <w:rFonts w:hint="eastAsia" w:asciiTheme="minorEastAsia" w:hAnsiTheme="minorEastAsia" w:eastAsiaTheme="minorEastAsia" w:cstheme="minorEastAsia"/>
          <w:i/>
          <w:sz w:val="24"/>
          <w:szCs w:val="24"/>
        </w:rPr>
      </w:pPr>
      <w:r>
        <w:rPr>
          <w:rFonts w:hint="eastAsia" w:asciiTheme="minorEastAsia" w:hAnsiTheme="minorEastAsia" w:eastAsiaTheme="minorEastAsia" w:cstheme="minorEastAsia"/>
          <w:sz w:val="24"/>
          <w:szCs w:val="24"/>
        </w:rPr>
        <w:t xml:space="preserve">  </w:t>
      </w:r>
    </w:p>
    <w:p w14:paraId="2E5A8D1B">
      <w:pPr>
        <w:spacing w:before="120" w:after="120" w:line="288" w:lineRule="auto"/>
        <w:ind w:left="0"/>
        <w:jc w:val="center"/>
        <w:outlineLvl w:val="9"/>
        <w:rPr>
          <w:rFonts w:hint="eastAsia" w:asciiTheme="minorEastAsia" w:hAnsiTheme="minorEastAsia" w:eastAsiaTheme="minorEastAsia" w:cstheme="minorEastAsia"/>
          <w:i/>
          <w:sz w:val="24"/>
          <w:szCs w:val="24"/>
        </w:rPr>
      </w:pPr>
      <w:r>
        <w:rPr>
          <w:rFonts w:hint="eastAsia" w:asciiTheme="minorEastAsia" w:hAnsiTheme="minorEastAsia" w:eastAsiaTheme="minorEastAsia" w:cstheme="minorEastAsia"/>
          <w:b/>
          <w:bCs w:val="0"/>
          <w:sz w:val="24"/>
          <w:szCs w:val="24"/>
          <w:lang w:eastAsia="zh-CN"/>
        </w:rPr>
        <w:drawing>
          <wp:inline distT="0" distB="0" distL="114300" distR="114300">
            <wp:extent cx="4829810" cy="2523490"/>
            <wp:effectExtent l="0" t="0" r="1270" b="6350"/>
            <wp:docPr id="7" name="图片 7" descr="微信图片_20221125202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21125202628"/>
                    <pic:cNvPicPr>
                      <a:picLocks noChangeAspect="1"/>
                    </pic:cNvPicPr>
                  </pic:nvPicPr>
                  <pic:blipFill>
                    <a:blip r:embed="rId20"/>
                    <a:stretch>
                      <a:fillRect/>
                    </a:stretch>
                  </pic:blipFill>
                  <pic:spPr>
                    <a:xfrm>
                      <a:off x="0" y="0"/>
                      <a:ext cx="4829810" cy="2523490"/>
                    </a:xfrm>
                    <a:prstGeom prst="rect">
                      <a:avLst/>
                    </a:prstGeom>
                  </pic:spPr>
                </pic:pic>
              </a:graphicData>
            </a:graphic>
          </wp:inline>
        </w:drawing>
      </w:r>
    </w:p>
    <w:p w14:paraId="29707983">
      <w:pPr>
        <w:pStyle w:val="24"/>
        <w:bidi w:val="0"/>
        <w:rPr>
          <w:rFonts w:hint="eastAsia" w:ascii="仿宋" w:hAnsi="仿宋" w:eastAsia="仿宋" w:cs="仿宋"/>
          <w:sz w:val="24"/>
          <w:szCs w:val="24"/>
          <w:lang w:val="en-US" w:eastAsia="zh-CN"/>
        </w:rPr>
      </w:pPr>
      <w:bookmarkStart w:id="33" w:name="_Toc2798"/>
      <w:r>
        <w:rPr>
          <w:rFonts w:hint="eastAsia" w:ascii="仿宋_GB2312" w:hAnsi="仿宋_GB2312"/>
          <w:lang w:val="en-US" w:eastAsia="zh-CN"/>
        </w:rPr>
        <w:t>图13  学生宿舍刷脸查寝</w:t>
      </w:r>
      <w:bookmarkEnd w:id="33"/>
    </w:p>
    <w:p w14:paraId="29C2E2F2">
      <w:pPr>
        <w:pStyle w:val="6"/>
        <w:keepNext w:val="0"/>
        <w:keepLines w:val="0"/>
        <w:pageBreakBefore w:val="0"/>
        <w:widowControl w:val="0"/>
        <w:kinsoku/>
        <w:wordWrap/>
        <w:overflowPunct/>
        <w:topLinePunct w:val="0"/>
        <w:autoSpaceDE/>
        <w:autoSpaceDN/>
        <w:bidi w:val="0"/>
        <w:adjustRightInd/>
        <w:snapToGrid/>
        <w:spacing w:line="240" w:lineRule="auto"/>
        <w:ind w:left="0" w:leftChars="0" w:firstLine="480" w:firstLineChars="200"/>
        <w:jc w:val="center"/>
        <w:textAlignment w:val="auto"/>
        <w:outlineLvl w:val="9"/>
        <w:rPr>
          <w:rFonts w:hint="eastAsia" w:ascii="仿宋" w:hAnsi="仿宋" w:eastAsia="仿宋" w:cs="仿宋"/>
          <w:sz w:val="24"/>
          <w:szCs w:val="24"/>
          <w:lang w:val="en-US" w:eastAsia="zh-CN"/>
        </w:rPr>
      </w:pPr>
    </w:p>
    <w:p w14:paraId="75C2DB2F">
      <w:pPr>
        <w:pStyle w:val="6"/>
        <w:keepNext w:val="0"/>
        <w:keepLines w:val="0"/>
        <w:pageBreakBefore w:val="0"/>
        <w:widowControl w:val="0"/>
        <w:kinsoku/>
        <w:wordWrap/>
        <w:overflowPunct/>
        <w:topLinePunct w:val="0"/>
        <w:autoSpaceDE/>
        <w:autoSpaceDN/>
        <w:bidi w:val="0"/>
        <w:adjustRightInd/>
        <w:snapToGrid/>
        <w:spacing w:line="240" w:lineRule="auto"/>
        <w:ind w:left="0" w:lef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4721225" cy="2418715"/>
            <wp:effectExtent l="0" t="0" r="3175" b="4445"/>
            <wp:docPr id="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0"/>
                    <pic:cNvPicPr>
                      <a:picLocks noChangeAspect="1"/>
                    </pic:cNvPicPr>
                  </pic:nvPicPr>
                  <pic:blipFill>
                    <a:blip r:embed="rId21"/>
                    <a:stretch>
                      <a:fillRect/>
                    </a:stretch>
                  </pic:blipFill>
                  <pic:spPr>
                    <a:xfrm>
                      <a:off x="0" y="0"/>
                      <a:ext cx="4721225" cy="2418715"/>
                    </a:xfrm>
                    <a:prstGeom prst="rect">
                      <a:avLst/>
                    </a:prstGeom>
                    <a:noFill/>
                    <a:ln>
                      <a:noFill/>
                    </a:ln>
                  </pic:spPr>
                </pic:pic>
              </a:graphicData>
            </a:graphic>
          </wp:inline>
        </w:drawing>
      </w:r>
    </w:p>
    <w:p w14:paraId="7EF4BC18">
      <w:pPr>
        <w:pStyle w:val="24"/>
        <w:bidi w:val="0"/>
        <w:rPr>
          <w:rFonts w:hint="eastAsia" w:ascii="仿宋_GB2312" w:hAnsi="仿宋_GB2312"/>
          <w:lang w:val="en-US" w:eastAsia="zh-CN"/>
        </w:rPr>
      </w:pPr>
      <w:bookmarkStart w:id="34" w:name="_Toc9163"/>
      <w:r>
        <w:rPr>
          <w:rFonts w:hint="eastAsia" w:ascii="仿宋_GB2312" w:hAnsi="仿宋_GB2312"/>
          <w:lang w:val="en-US" w:eastAsia="zh-CN"/>
        </w:rPr>
        <w:t>图14  上网行为情况统计</w:t>
      </w:r>
      <w:bookmarkEnd w:id="34"/>
    </w:p>
    <w:p w14:paraId="2604FB03">
      <w:pPr>
        <w:pStyle w:val="6"/>
        <w:keepNext w:val="0"/>
        <w:keepLines w:val="0"/>
        <w:pageBreakBefore w:val="0"/>
        <w:widowControl w:val="0"/>
        <w:kinsoku/>
        <w:wordWrap/>
        <w:overflowPunct/>
        <w:topLinePunct w:val="0"/>
        <w:autoSpaceDE/>
        <w:autoSpaceDN/>
        <w:bidi w:val="0"/>
        <w:adjustRightInd/>
        <w:snapToGrid/>
        <w:spacing w:line="240" w:lineRule="auto"/>
        <w:ind w:left="0" w:leftChars="0" w:firstLine="480" w:firstLineChars="200"/>
        <w:jc w:val="both"/>
        <w:textAlignment w:val="auto"/>
        <w:outlineLvl w:val="9"/>
        <w:rPr>
          <w:rFonts w:hint="eastAsia" w:asciiTheme="minorEastAsia" w:hAnsiTheme="minorEastAsia" w:eastAsiaTheme="minorEastAsia" w:cstheme="minorEastAsia"/>
          <w:sz w:val="24"/>
          <w:szCs w:val="24"/>
          <w:lang w:eastAsia="zh-CN"/>
        </w:rPr>
      </w:pPr>
    </w:p>
    <w:p w14:paraId="7D574DE2">
      <w:pPr>
        <w:pStyle w:val="6"/>
        <w:keepNext w:val="0"/>
        <w:keepLines w:val="0"/>
        <w:pageBreakBefore w:val="0"/>
        <w:widowControl w:val="0"/>
        <w:kinsoku/>
        <w:wordWrap/>
        <w:overflowPunct/>
        <w:topLinePunct w:val="0"/>
        <w:autoSpaceDE/>
        <w:autoSpaceDN/>
        <w:bidi w:val="0"/>
        <w:adjustRightInd/>
        <w:snapToGrid/>
        <w:spacing w:line="240" w:lineRule="auto"/>
        <w:ind w:left="0" w:lef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4806950" cy="2740025"/>
            <wp:effectExtent l="0" t="0" r="8890" b="3175"/>
            <wp:docPr id="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pic:cNvPicPr>
                      <a:picLocks noChangeAspect="1"/>
                    </pic:cNvPicPr>
                  </pic:nvPicPr>
                  <pic:blipFill>
                    <a:blip r:embed="rId22"/>
                    <a:stretch>
                      <a:fillRect/>
                    </a:stretch>
                  </pic:blipFill>
                  <pic:spPr>
                    <a:xfrm>
                      <a:off x="0" y="0"/>
                      <a:ext cx="4806950" cy="2740025"/>
                    </a:xfrm>
                    <a:prstGeom prst="rect">
                      <a:avLst/>
                    </a:prstGeom>
                    <a:noFill/>
                    <a:ln>
                      <a:noFill/>
                    </a:ln>
                  </pic:spPr>
                </pic:pic>
              </a:graphicData>
            </a:graphic>
          </wp:inline>
        </w:drawing>
      </w:r>
    </w:p>
    <w:p w14:paraId="49F7C97D">
      <w:pPr>
        <w:pStyle w:val="24"/>
        <w:bidi w:val="0"/>
        <w:rPr>
          <w:rFonts w:hint="eastAsia" w:ascii="仿宋_GB2312" w:hAnsi="仿宋_GB2312"/>
          <w:lang w:val="en-US" w:eastAsia="zh-CN"/>
        </w:rPr>
      </w:pPr>
      <w:bookmarkStart w:id="35" w:name="_Toc24424"/>
      <w:r>
        <w:rPr>
          <w:rFonts w:hint="eastAsia" w:ascii="仿宋_GB2312" w:hAnsi="仿宋_GB2312"/>
          <w:lang w:val="en-US" w:eastAsia="zh-CN"/>
        </w:rPr>
        <w:t>图15  上网行为审计</w:t>
      </w:r>
      <w:bookmarkEnd w:id="35"/>
    </w:p>
    <w:p w14:paraId="3A89FF8E">
      <w:pPr>
        <w:keepNext w:val="0"/>
        <w:keepLines w:val="0"/>
        <w:pageBreakBefore w:val="0"/>
        <w:widowControl/>
        <w:tabs>
          <w:tab w:val="left" w:pos="0"/>
        </w:tabs>
        <w:kinsoku/>
        <w:wordWrap/>
        <w:overflowPunct/>
        <w:topLinePunct w:val="0"/>
        <w:autoSpaceDE/>
        <w:autoSpaceDN/>
        <w:bidi w:val="0"/>
        <w:adjustRightInd/>
        <w:snapToGrid/>
        <w:spacing w:line="480" w:lineRule="exact"/>
        <w:ind w:left="420" w:leftChars="200" w:firstLine="300" w:firstLineChars="100"/>
        <w:textAlignment w:val="auto"/>
        <w:outlineLvl w:val="9"/>
        <w:rPr>
          <w:rFonts w:hint="eastAsia" w:ascii="仿宋" w:hAnsi="仿宋" w:eastAsia="仿宋" w:cs="仿宋"/>
          <w:b w:val="0"/>
          <w:bCs/>
          <w:i w:val="0"/>
          <w:iCs w:val="0"/>
          <w:sz w:val="30"/>
          <w:szCs w:val="30"/>
        </w:rPr>
      </w:pPr>
      <w:bookmarkStart w:id="36" w:name="heading_4"/>
      <w:r>
        <w:rPr>
          <w:rFonts w:hint="eastAsia" w:ascii="仿宋" w:hAnsi="仿宋" w:eastAsia="仿宋" w:cs="仿宋"/>
          <w:b w:val="0"/>
          <w:bCs/>
          <w:i w:val="0"/>
          <w:iCs w:val="0"/>
          <w:sz w:val="30"/>
          <w:szCs w:val="30"/>
          <w:lang w:val="en-US" w:eastAsia="zh-CN"/>
        </w:rPr>
        <w:t>2.</w:t>
      </w:r>
      <w:r>
        <w:rPr>
          <w:rFonts w:hint="eastAsia" w:ascii="仿宋" w:hAnsi="仿宋" w:eastAsia="仿宋" w:cs="仿宋"/>
          <w:b w:val="0"/>
          <w:bCs/>
          <w:i w:val="0"/>
          <w:iCs w:val="0"/>
          <w:sz w:val="30"/>
          <w:szCs w:val="30"/>
        </w:rPr>
        <w:t>基础设施升级：构建高效协同环境</w:t>
      </w:r>
      <w:bookmarkEnd w:id="36"/>
    </w:p>
    <w:p w14:paraId="3520D14A">
      <w:pPr>
        <w:pageBreakBefore w:val="0"/>
        <w:widowControl/>
        <w:tabs>
          <w:tab w:val="left" w:pos="0"/>
        </w:tabs>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i w:val="0"/>
          <w:iCs w:val="0"/>
          <w:sz w:val="30"/>
          <w:szCs w:val="30"/>
        </w:rPr>
      </w:pPr>
      <w:r>
        <w:rPr>
          <w:rFonts w:hint="eastAsia" w:ascii="仿宋" w:hAnsi="仿宋" w:eastAsia="仿宋" w:cs="仿宋"/>
          <w:i w:val="0"/>
          <w:iCs w:val="0"/>
          <w:sz w:val="30"/>
          <w:szCs w:val="30"/>
        </w:rPr>
        <w:t>持续完善办公、网络、后勤等领域数字化基础设施，打造全方位、高性能的校园服务支撑体系。</w:t>
      </w:r>
    </w:p>
    <w:p w14:paraId="26C1EB94">
      <w:pPr>
        <w:pStyle w:val="6"/>
        <w:outlineLvl w:val="9"/>
        <w:rPr>
          <w:rFonts w:hint="eastAsia" w:ascii="仿宋" w:hAnsi="仿宋" w:eastAsia="仿宋" w:cs="仿宋"/>
          <w:b/>
          <w:bCs/>
          <w:i w:val="0"/>
          <w:iCs w:val="0"/>
          <w:sz w:val="24"/>
          <w:szCs w:val="24"/>
          <w:lang w:val="en-US" w:eastAsia="zh-CN"/>
        </w:rPr>
      </w:pPr>
      <w:r>
        <w:rPr>
          <w:rFonts w:hint="eastAsia" w:ascii="仿宋" w:hAnsi="仿宋" w:eastAsia="仿宋" w:cs="仿宋"/>
          <w:i w:val="0"/>
          <w:iCs w:val="0"/>
          <w:sz w:val="30"/>
          <w:szCs w:val="30"/>
          <w:lang w:val="en-US" w:eastAsia="zh-CN"/>
        </w:rPr>
        <w:t xml:space="preserve">       </w:t>
      </w:r>
      <w:r>
        <w:rPr>
          <w:rFonts w:hint="eastAsia" w:ascii="仿宋" w:hAnsi="仿宋" w:eastAsia="仿宋" w:cs="仿宋"/>
          <w:i w:val="0"/>
          <w:iCs w:val="0"/>
          <w:sz w:val="24"/>
          <w:szCs w:val="24"/>
          <w:lang w:val="en-US" w:eastAsia="zh-CN"/>
        </w:rPr>
        <w:t xml:space="preserve"> </w:t>
      </w:r>
    </w:p>
    <w:p w14:paraId="597B6FAF">
      <w:pPr>
        <w:pStyle w:val="39"/>
        <w:bidi w:val="0"/>
        <w:rPr>
          <w:rFonts w:hint="default"/>
          <w:lang w:val="en-US" w:eastAsia="zh-CN"/>
        </w:rPr>
      </w:pPr>
      <w:bookmarkStart w:id="37" w:name="_Toc17824"/>
      <w:r>
        <w:rPr>
          <w:rFonts w:hint="eastAsia"/>
          <w:lang w:val="en-US" w:eastAsia="zh-CN"/>
        </w:rPr>
        <w:t>表3  上杭职专数字化建设汇总表</w:t>
      </w:r>
      <w:bookmarkEnd w:id="37"/>
    </w:p>
    <w:tbl>
      <w:tblPr>
        <w:tblStyle w:val="19"/>
        <w:tblW w:w="0" w:type="auto"/>
        <w:jc w:val="center"/>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fixed"/>
        <w:tblCellMar>
          <w:top w:w="0" w:type="dxa"/>
          <w:left w:w="10" w:type="dxa"/>
          <w:bottom w:w="0" w:type="dxa"/>
          <w:right w:w="10" w:type="dxa"/>
        </w:tblCellMar>
      </w:tblPr>
      <w:tblGrid>
        <w:gridCol w:w="1774"/>
        <w:gridCol w:w="2288"/>
        <w:gridCol w:w="1725"/>
        <w:gridCol w:w="2373"/>
      </w:tblGrid>
      <w:tr w14:paraId="1AFBAD63">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805" w:hRule="atLeast"/>
          <w:jc w:val="center"/>
        </w:trPr>
        <w:tc>
          <w:tcPr>
            <w:tcW w:w="1774"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6AB51884">
            <w:pPr>
              <w:spacing w:before="120" w:after="120" w:line="288" w:lineRule="auto"/>
              <w:ind w:left="0"/>
              <w:jc w:val="center"/>
              <w:outlineLvl w:val="9"/>
              <w:rPr>
                <w:rFonts w:hint="eastAsia" w:ascii="仿宋" w:hAnsi="仿宋" w:eastAsia="仿宋" w:cs="仿宋"/>
                <w:b/>
                <w:bCs/>
                <w:sz w:val="24"/>
                <w:szCs w:val="24"/>
              </w:rPr>
            </w:pPr>
            <w:r>
              <w:rPr>
                <w:rFonts w:hint="eastAsia" w:ascii="仿宋" w:hAnsi="仿宋" w:eastAsia="仿宋" w:cs="仿宋"/>
                <w:b/>
                <w:bCs/>
                <w:sz w:val="24"/>
                <w:szCs w:val="24"/>
              </w:rPr>
              <w:t>基础设施类别</w:t>
            </w:r>
          </w:p>
        </w:tc>
        <w:tc>
          <w:tcPr>
            <w:tcW w:w="2288"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D8F5560">
            <w:pPr>
              <w:spacing w:before="120" w:after="120" w:line="288" w:lineRule="auto"/>
              <w:ind w:left="0"/>
              <w:jc w:val="center"/>
              <w:outlineLvl w:val="9"/>
              <w:rPr>
                <w:rFonts w:hint="eastAsia" w:ascii="仿宋" w:hAnsi="仿宋" w:eastAsia="仿宋" w:cs="仿宋"/>
                <w:b/>
                <w:bCs/>
                <w:sz w:val="24"/>
                <w:szCs w:val="24"/>
              </w:rPr>
            </w:pPr>
            <w:r>
              <w:rPr>
                <w:rFonts w:hint="eastAsia" w:ascii="仿宋" w:hAnsi="仿宋" w:eastAsia="仿宋" w:cs="仿宋"/>
                <w:b/>
                <w:bCs/>
                <w:sz w:val="24"/>
                <w:szCs w:val="24"/>
              </w:rPr>
              <w:t>建设内容</w:t>
            </w:r>
          </w:p>
        </w:tc>
        <w:tc>
          <w:tcPr>
            <w:tcW w:w="1725"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67A6B4E1">
            <w:pPr>
              <w:spacing w:before="120" w:after="120" w:line="288" w:lineRule="auto"/>
              <w:ind w:left="0"/>
              <w:jc w:val="center"/>
              <w:outlineLvl w:val="9"/>
              <w:rPr>
                <w:rFonts w:hint="eastAsia" w:ascii="仿宋" w:hAnsi="仿宋" w:eastAsia="仿宋" w:cs="仿宋"/>
                <w:b/>
                <w:bCs/>
                <w:sz w:val="24"/>
                <w:szCs w:val="24"/>
              </w:rPr>
            </w:pPr>
            <w:r>
              <w:rPr>
                <w:rFonts w:hint="eastAsia" w:ascii="仿宋" w:hAnsi="仿宋" w:eastAsia="仿宋" w:cs="仿宋"/>
                <w:b/>
                <w:bCs/>
                <w:sz w:val="24"/>
                <w:szCs w:val="24"/>
              </w:rPr>
              <w:t>技术参数/覆盖范围</w:t>
            </w:r>
          </w:p>
        </w:tc>
        <w:tc>
          <w:tcPr>
            <w:tcW w:w="2373"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9C2F172">
            <w:pPr>
              <w:spacing w:before="120" w:after="120" w:line="288" w:lineRule="auto"/>
              <w:ind w:left="0"/>
              <w:jc w:val="center"/>
              <w:outlineLvl w:val="9"/>
              <w:rPr>
                <w:rFonts w:hint="eastAsia" w:ascii="仿宋" w:hAnsi="仿宋" w:eastAsia="仿宋" w:cs="仿宋"/>
                <w:b/>
                <w:bCs/>
                <w:sz w:val="24"/>
                <w:szCs w:val="24"/>
              </w:rPr>
            </w:pPr>
            <w:r>
              <w:rPr>
                <w:rFonts w:hint="eastAsia" w:ascii="仿宋" w:hAnsi="仿宋" w:eastAsia="仿宋" w:cs="仿宋"/>
                <w:b/>
                <w:bCs/>
                <w:sz w:val="24"/>
                <w:szCs w:val="24"/>
              </w:rPr>
              <w:t>应用成效</w:t>
            </w:r>
          </w:p>
        </w:tc>
      </w:tr>
      <w:tr w14:paraId="6946E65B">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2191" w:hRule="atLeast"/>
          <w:jc w:val="center"/>
        </w:trPr>
        <w:tc>
          <w:tcPr>
            <w:tcW w:w="1774"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2FF13C0">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网络建设</w:t>
            </w:r>
          </w:p>
        </w:tc>
        <w:tc>
          <w:tcPr>
            <w:tcW w:w="2288"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29C0CB7">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有线网络（千兆主干、百兆到桌面）、全域无线网络；多线路冗余接入（1000M城域网、300M移动+电信专线）</w:t>
            </w:r>
          </w:p>
        </w:tc>
        <w:tc>
          <w:tcPr>
            <w:tcW w:w="1725"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409AAEE">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教学办公区域信息点100%覆盖</w:t>
            </w:r>
          </w:p>
        </w:tc>
        <w:tc>
          <w:tcPr>
            <w:tcW w:w="2373"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315CBA2">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网络卡顿率降至1%以下，支持500人同时在线教学、办公无压力</w:t>
            </w:r>
          </w:p>
        </w:tc>
      </w:tr>
      <w:tr w14:paraId="45581C86">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1616" w:hRule="atLeast"/>
          <w:jc w:val="center"/>
        </w:trPr>
        <w:tc>
          <w:tcPr>
            <w:tcW w:w="1774"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DA45164">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办公协同平台</w:t>
            </w:r>
          </w:p>
        </w:tc>
        <w:tc>
          <w:tcPr>
            <w:tcW w:w="2288"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051F927">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OA办公、公文审批、资产与后勤管理系统</w:t>
            </w:r>
          </w:p>
        </w:tc>
        <w:tc>
          <w:tcPr>
            <w:tcW w:w="1725"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0B5C29C7">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覆盖行政办公、后勤保障全流程</w:t>
            </w:r>
          </w:p>
        </w:tc>
        <w:tc>
          <w:tcPr>
            <w:tcW w:w="2373"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4AD3B01">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实现无纸化办公，公文流转效率提升60%，资产盘点周期从1个月缩短至1周</w:t>
            </w:r>
          </w:p>
        </w:tc>
      </w:tr>
      <w:tr w14:paraId="3CB49525">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2061" w:hRule="atLeast"/>
          <w:jc w:val="center"/>
        </w:trPr>
        <w:tc>
          <w:tcPr>
            <w:tcW w:w="1774"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958B5E2">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特色功能区域</w:t>
            </w:r>
          </w:p>
        </w:tc>
        <w:tc>
          <w:tcPr>
            <w:tcW w:w="2288"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EEC336D">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数字图书馆、录播教室、数字化技能教室、标准化考场</w:t>
            </w:r>
          </w:p>
        </w:tc>
        <w:tc>
          <w:tcPr>
            <w:tcW w:w="1725"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8686A15">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数字图书资源超5万册，录播教室3间，标准化考场20间</w:t>
            </w:r>
          </w:p>
        </w:tc>
        <w:tc>
          <w:tcPr>
            <w:tcW w:w="2373"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26EF9960">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成功承接中考考点任务，数字化技能实训覆盖率达80%，学生自主学习时长日均增加1.5小时</w:t>
            </w:r>
          </w:p>
        </w:tc>
      </w:tr>
      <w:tr w14:paraId="6D808AA0">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1602" w:hRule="atLeast"/>
          <w:jc w:val="center"/>
        </w:trPr>
        <w:tc>
          <w:tcPr>
            <w:tcW w:w="1774"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0D0C59F4">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数据支撑平台</w:t>
            </w:r>
          </w:p>
        </w:tc>
        <w:tc>
          <w:tcPr>
            <w:tcW w:w="2288"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0671DF59">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云存储、服务器虚拟化平台、基础数据中台</w:t>
            </w:r>
          </w:p>
        </w:tc>
        <w:tc>
          <w:tcPr>
            <w:tcW w:w="1725"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98AF009">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存储容量100TB，整合8个业务系统数据</w:t>
            </w:r>
          </w:p>
        </w:tc>
        <w:tc>
          <w:tcPr>
            <w:tcW w:w="2373"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2A6C33FD">
            <w:pPr>
              <w:spacing w:before="120" w:after="120" w:line="288" w:lineRule="auto"/>
              <w:ind w:left="0"/>
              <w:jc w:val="center"/>
              <w:outlineLvl w:val="9"/>
              <w:rPr>
                <w:rFonts w:hint="eastAsia" w:ascii="仿宋" w:hAnsi="仿宋" w:eastAsia="仿宋" w:cs="仿宋"/>
                <w:sz w:val="24"/>
                <w:szCs w:val="24"/>
              </w:rPr>
            </w:pPr>
            <w:r>
              <w:rPr>
                <w:rFonts w:hint="eastAsia" w:ascii="仿宋" w:hAnsi="仿宋" w:eastAsia="仿宋" w:cs="仿宋"/>
                <w:sz w:val="24"/>
                <w:szCs w:val="24"/>
              </w:rPr>
              <w:t>实现跨系统数据互通，数据分析可视化，为学校决策提供科学支撑</w:t>
            </w:r>
          </w:p>
        </w:tc>
      </w:tr>
    </w:tbl>
    <w:p w14:paraId="1C172FD3">
      <w:pPr>
        <w:spacing w:before="120" w:after="120" w:line="288" w:lineRule="auto"/>
        <w:ind w:left="0"/>
        <w:jc w:val="center"/>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drawing>
          <wp:inline distT="0" distB="0" distL="114300" distR="114300">
            <wp:extent cx="4198620" cy="2177415"/>
            <wp:effectExtent l="0" t="0" r="7620" b="1905"/>
            <wp:docPr id="17" name="图片 17" descr="aa1b7fd7a9932f80c7d33c59af7ed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aa1b7fd7a9932f80c7d33c59af7ed89"/>
                    <pic:cNvPicPr>
                      <a:picLocks noChangeAspect="1"/>
                    </pic:cNvPicPr>
                  </pic:nvPicPr>
                  <pic:blipFill>
                    <a:blip r:embed="rId23"/>
                    <a:stretch>
                      <a:fillRect/>
                    </a:stretch>
                  </pic:blipFill>
                  <pic:spPr>
                    <a:xfrm>
                      <a:off x="0" y="0"/>
                      <a:ext cx="4198620" cy="2177415"/>
                    </a:xfrm>
                    <a:prstGeom prst="rect">
                      <a:avLst/>
                    </a:prstGeom>
                  </pic:spPr>
                </pic:pic>
              </a:graphicData>
            </a:graphic>
          </wp:inline>
        </w:drawing>
      </w:r>
    </w:p>
    <w:p w14:paraId="6662693C">
      <w:pPr>
        <w:pStyle w:val="24"/>
        <w:bidi w:val="0"/>
        <w:rPr>
          <w:rFonts w:hint="eastAsia" w:ascii="仿宋_GB2312" w:hAnsi="仿宋_GB2312"/>
          <w:lang w:val="en-US" w:eastAsia="zh-CN"/>
        </w:rPr>
      </w:pPr>
      <w:bookmarkStart w:id="38" w:name="_Toc7717"/>
      <w:r>
        <w:rPr>
          <w:rFonts w:hint="eastAsia" w:ascii="仿宋_GB2312" w:hAnsi="仿宋_GB2312"/>
          <w:lang w:val="en-US" w:eastAsia="zh-CN"/>
        </w:rPr>
        <w:t>图16  校园5G网络和WiFi全覆盖拓扑图</w:t>
      </w:r>
      <w:bookmarkEnd w:id="38"/>
    </w:p>
    <w:p w14:paraId="16DFDB4E">
      <w:pPr>
        <w:pStyle w:val="6"/>
        <w:ind w:left="0" w:leftChars="0" w:firstLine="0" w:firstLineChars="0"/>
        <w:jc w:val="center"/>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3515" cy="1892935"/>
            <wp:effectExtent l="0" t="0" r="9525" b="12065"/>
            <wp:docPr id="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pic:cNvPicPr>
                  </pic:nvPicPr>
                  <pic:blipFill>
                    <a:blip r:embed="rId24"/>
                    <a:stretch>
                      <a:fillRect/>
                    </a:stretch>
                  </pic:blipFill>
                  <pic:spPr>
                    <a:xfrm>
                      <a:off x="0" y="0"/>
                      <a:ext cx="5263515" cy="1892935"/>
                    </a:xfrm>
                    <a:prstGeom prst="rect">
                      <a:avLst/>
                    </a:prstGeom>
                    <a:noFill/>
                    <a:ln>
                      <a:noFill/>
                    </a:ln>
                  </pic:spPr>
                </pic:pic>
              </a:graphicData>
            </a:graphic>
          </wp:inline>
        </w:drawing>
      </w:r>
    </w:p>
    <w:p w14:paraId="146AB953">
      <w:pPr>
        <w:pStyle w:val="24"/>
        <w:bidi w:val="0"/>
        <w:rPr>
          <w:rFonts w:hint="eastAsia" w:ascii="仿宋_GB2312" w:hAnsi="仿宋_GB2312"/>
          <w:lang w:val="en-US" w:eastAsia="zh-CN"/>
        </w:rPr>
      </w:pPr>
      <w:bookmarkStart w:id="39" w:name="_Toc16541"/>
      <w:r>
        <w:rPr>
          <w:rFonts w:hint="eastAsia" w:ascii="仿宋_GB2312" w:hAnsi="仿宋_GB2312"/>
          <w:lang w:val="en-US" w:eastAsia="zh-CN"/>
        </w:rPr>
        <w:t>图17  智慧校园平台</w:t>
      </w:r>
      <w:bookmarkEnd w:id="39"/>
    </w:p>
    <w:p w14:paraId="1A8B2F2A">
      <w:pPr>
        <w:keepNext w:val="0"/>
        <w:keepLines w:val="0"/>
        <w:pageBreakBefore w:val="0"/>
        <w:widowControl/>
        <w:tabs>
          <w:tab w:val="left" w:pos="0"/>
        </w:tabs>
        <w:kinsoku/>
        <w:wordWrap/>
        <w:overflowPunct/>
        <w:topLinePunct w:val="0"/>
        <w:autoSpaceDE/>
        <w:autoSpaceDN/>
        <w:bidi w:val="0"/>
        <w:adjustRightInd/>
        <w:snapToGrid/>
        <w:spacing w:line="480" w:lineRule="exact"/>
        <w:ind w:left="420" w:leftChars="200" w:firstLine="300" w:firstLineChars="100"/>
        <w:textAlignment w:val="auto"/>
        <w:outlineLvl w:val="9"/>
        <w:rPr>
          <w:rFonts w:hint="eastAsia" w:ascii="仿宋" w:hAnsi="仿宋" w:eastAsia="仿宋" w:cs="仿宋"/>
          <w:b w:val="0"/>
          <w:bCs/>
          <w:i w:val="0"/>
          <w:iCs w:val="0"/>
          <w:sz w:val="30"/>
          <w:szCs w:val="30"/>
        </w:rPr>
      </w:pPr>
      <w:bookmarkStart w:id="40" w:name="heading_5"/>
      <w:r>
        <w:rPr>
          <w:rFonts w:hint="eastAsia" w:ascii="仿宋" w:hAnsi="仿宋" w:eastAsia="仿宋" w:cs="仿宋"/>
          <w:b w:val="0"/>
          <w:bCs/>
          <w:i w:val="0"/>
          <w:iCs w:val="0"/>
          <w:sz w:val="30"/>
          <w:szCs w:val="30"/>
          <w:lang w:val="en-US" w:eastAsia="zh-CN"/>
        </w:rPr>
        <w:t>3.</w:t>
      </w:r>
      <w:r>
        <w:rPr>
          <w:rFonts w:hint="eastAsia" w:ascii="仿宋" w:hAnsi="仿宋" w:eastAsia="仿宋" w:cs="仿宋"/>
          <w:b w:val="0"/>
          <w:bCs/>
          <w:i w:val="0"/>
          <w:iCs w:val="0"/>
          <w:sz w:val="30"/>
          <w:szCs w:val="30"/>
        </w:rPr>
        <w:t>师生信息化素养提升：以赛促学强能力</w:t>
      </w:r>
      <w:bookmarkEnd w:id="40"/>
    </w:p>
    <w:p w14:paraId="0B4871D5">
      <w:pPr>
        <w:keepNext w:val="0"/>
        <w:keepLines w:val="0"/>
        <w:pageBreakBefore w:val="0"/>
        <w:widowControl/>
        <w:tabs>
          <w:tab w:val="left" w:pos="0"/>
        </w:tabs>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b w:val="0"/>
          <w:bCs/>
          <w:i w:val="0"/>
          <w:iCs w:val="0"/>
          <w:sz w:val="30"/>
          <w:szCs w:val="30"/>
        </w:rPr>
      </w:pPr>
      <w:r>
        <w:rPr>
          <w:rFonts w:hint="eastAsia" w:ascii="仿宋" w:hAnsi="仿宋" w:eastAsia="仿宋" w:cs="仿宋"/>
          <w:b w:val="0"/>
          <w:bCs/>
          <w:i w:val="0"/>
          <w:iCs w:val="0"/>
          <w:sz w:val="30"/>
          <w:szCs w:val="30"/>
        </w:rPr>
        <w:t>将全员信息化素养提升作为数字校园建设关键支撑，通过培训、竞赛、考核多举措推进能力培育工程。</w:t>
      </w:r>
    </w:p>
    <w:p w14:paraId="4D1358AE">
      <w:pPr>
        <w:pStyle w:val="39"/>
        <w:bidi w:val="0"/>
        <w:rPr>
          <w:rFonts w:hint="default"/>
          <w:lang w:val="en-US" w:eastAsia="zh-CN"/>
        </w:rPr>
      </w:pPr>
      <w:bookmarkStart w:id="41" w:name="_Toc8580"/>
      <w:r>
        <w:rPr>
          <w:rFonts w:hint="eastAsia"/>
          <w:lang w:val="en-US" w:eastAsia="zh-CN"/>
        </w:rPr>
        <w:t>表4  上杭职专师生信息素养提升表</w:t>
      </w:r>
      <w:bookmarkEnd w:id="41"/>
    </w:p>
    <w:tbl>
      <w:tblPr>
        <w:tblStyle w:val="19"/>
        <w:tblW w:w="8467" w:type="dxa"/>
        <w:jc w:val="center"/>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autofit"/>
        <w:tblCellMar>
          <w:top w:w="0" w:type="dxa"/>
          <w:left w:w="10" w:type="dxa"/>
          <w:bottom w:w="0" w:type="dxa"/>
          <w:right w:w="10" w:type="dxa"/>
        </w:tblCellMar>
      </w:tblPr>
      <w:tblGrid>
        <w:gridCol w:w="1662"/>
        <w:gridCol w:w="3096"/>
        <w:gridCol w:w="3709"/>
      </w:tblGrid>
      <w:tr w14:paraId="506A80BF">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tblHeader/>
          <w:jc w:val="center"/>
        </w:trPr>
        <w:tc>
          <w:tcPr>
            <w:tcW w:w="1662"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34F00DAC">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培育对象</w:t>
            </w:r>
          </w:p>
        </w:tc>
        <w:tc>
          <w:tcPr>
            <w:tcW w:w="3096"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76D2110">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主要举措</w:t>
            </w:r>
          </w:p>
        </w:tc>
        <w:tc>
          <w:tcPr>
            <w:tcW w:w="3709"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043D585">
            <w:pPr>
              <w:snapToGrid w:val="0"/>
              <w:spacing w:before="120" w:after="120" w:line="240" w:lineRule="auto"/>
              <w:ind w:left="0" w:leftChars="0" w:right="0" w:rightChars="0" w:firstLine="0" w:firstLineChars="0"/>
              <w:jc w:val="center"/>
              <w:outlineLvl w:val="9"/>
              <w:rPr>
                <w:rFonts w:hint="eastAsia" w:ascii="仿宋" w:hAnsi="仿宋" w:eastAsia="仿宋" w:cs="仿宋"/>
                <w:b/>
                <w:sz w:val="24"/>
                <w:szCs w:val="24"/>
              </w:rPr>
            </w:pPr>
            <w:r>
              <w:rPr>
                <w:rFonts w:hint="eastAsia" w:ascii="仿宋" w:hAnsi="仿宋" w:eastAsia="仿宋" w:cs="仿宋"/>
                <w:b/>
                <w:sz w:val="24"/>
                <w:szCs w:val="24"/>
              </w:rPr>
              <w:t>成果数据</w:t>
            </w:r>
          </w:p>
        </w:tc>
      </w:tr>
      <w:tr w14:paraId="747F6371">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662"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64D5190C">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教师群体</w:t>
            </w:r>
          </w:p>
        </w:tc>
        <w:tc>
          <w:tcPr>
            <w:tcW w:w="3096"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475CF817">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数字化教学能力专题培训、线上平台应用培训、教学研讨与案例分享；将信息化应用能力纳入绩效考核</w:t>
            </w:r>
          </w:p>
        </w:tc>
        <w:tc>
          <w:tcPr>
            <w:tcW w:w="3709"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085D158">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2个项目获省级职业院校教师教学能力比赛奖项，教师信息化教学应用达标率100%</w:t>
            </w:r>
          </w:p>
        </w:tc>
      </w:tr>
      <w:tr w14:paraId="002884E1">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662"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3ED78F35">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学生群体</w:t>
            </w:r>
          </w:p>
        </w:tc>
        <w:tc>
          <w:tcPr>
            <w:tcW w:w="3096"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68A6BFEE">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信息素养主题班会、数字化技能实训、知识竞赛；组织参与各级信息化赛事</w:t>
            </w:r>
          </w:p>
        </w:tc>
        <w:tc>
          <w:tcPr>
            <w:tcW w:w="3709"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7DC66D5A">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福建省职业院校技能大赛获9项奖项（23人次获奖），全国青年科普创新实验暨作品大赛福建赛区获1项奖项</w:t>
            </w:r>
          </w:p>
        </w:tc>
      </w:tr>
      <w:tr w14:paraId="116E214F">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0" w:hRule="atLeast"/>
          <w:jc w:val="center"/>
        </w:trPr>
        <w:tc>
          <w:tcPr>
            <w:tcW w:w="1662"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14C52B7E">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长效机制建设</w:t>
            </w:r>
          </w:p>
        </w:tc>
        <w:tc>
          <w:tcPr>
            <w:tcW w:w="3096"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254DF3C6">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制定信息化素养提升专项方案、构建校内培训与考核指标体系、完善激励制度</w:t>
            </w:r>
          </w:p>
        </w:tc>
        <w:tc>
          <w:tcPr>
            <w:tcW w:w="3709" w:type="dxa"/>
            <w:tcBorders>
              <w:top w:val="single" w:color="auto" w:sz="4" w:space="0"/>
              <w:left w:val="single" w:color="auto" w:sz="4" w:space="0"/>
              <w:bottom w:val="single" w:color="auto" w:sz="4" w:space="0"/>
              <w:right w:val="single" w:color="auto" w:sz="4" w:space="0"/>
            </w:tcBorders>
            <w:tcMar>
              <w:top w:w="60" w:type="dxa"/>
              <w:left w:w="120" w:type="dxa"/>
              <w:bottom w:w="30" w:type="dxa"/>
              <w:right w:w="120" w:type="dxa"/>
            </w:tcMar>
            <w:vAlign w:val="center"/>
          </w:tcPr>
          <w:p w14:paraId="5DDA85A3">
            <w:pPr>
              <w:snapToGrid w:val="0"/>
              <w:spacing w:before="120" w:after="12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sz w:val="24"/>
                <w:szCs w:val="24"/>
              </w:rPr>
              <w:t>常态化开展培训与竞赛活动，师生数字化应用与创新能力持续提升</w:t>
            </w:r>
          </w:p>
        </w:tc>
      </w:tr>
    </w:tbl>
    <w:p w14:paraId="28F3F6BF">
      <w:pPr>
        <w:spacing w:before="120" w:after="120" w:line="288" w:lineRule="auto"/>
        <w:ind w:left="0"/>
        <w:jc w:val="left"/>
        <w:outlineLvl w:val="9"/>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eastAsia="zh-CN"/>
        </w:rPr>
        <w:drawing>
          <wp:inline distT="0" distB="0" distL="114300" distR="114300">
            <wp:extent cx="5269230" cy="2235835"/>
            <wp:effectExtent l="0" t="0" r="7620" b="12065"/>
            <wp:docPr id="19" name="图片 19" descr="610cebbdfc2d1a807f98e17f058743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610cebbdfc2d1a807f98e17f058743c3"/>
                    <pic:cNvPicPr>
                      <a:picLocks noChangeAspect="1"/>
                    </pic:cNvPicPr>
                  </pic:nvPicPr>
                  <pic:blipFill>
                    <a:blip r:embed="rId25"/>
                    <a:stretch>
                      <a:fillRect/>
                    </a:stretch>
                  </pic:blipFill>
                  <pic:spPr>
                    <a:xfrm>
                      <a:off x="0" y="0"/>
                      <a:ext cx="5269230" cy="2235835"/>
                    </a:xfrm>
                    <a:prstGeom prst="rect">
                      <a:avLst/>
                    </a:prstGeom>
                  </pic:spPr>
                </pic:pic>
              </a:graphicData>
            </a:graphic>
          </wp:inline>
        </w:drawing>
      </w:r>
    </w:p>
    <w:p w14:paraId="7D05090C">
      <w:pPr>
        <w:pStyle w:val="24"/>
        <w:bidi w:val="0"/>
        <w:rPr>
          <w:rFonts w:hint="eastAsia" w:ascii="仿宋_GB2312" w:hAnsi="仿宋_GB2312"/>
          <w:lang w:val="en-US" w:eastAsia="zh-CN"/>
        </w:rPr>
      </w:pPr>
      <w:bookmarkStart w:id="42" w:name="_Toc25308"/>
      <w:r>
        <w:rPr>
          <w:rFonts w:hint="eastAsia" w:ascii="仿宋_GB2312" w:hAnsi="仿宋_GB2312"/>
          <w:lang w:val="en-US" w:eastAsia="zh-CN"/>
        </w:rPr>
        <w:t>图18 学生参与福建省职业院校技能大赛获奖合影</w:t>
      </w:r>
      <w:bookmarkEnd w:id="42"/>
    </w:p>
    <w:p w14:paraId="533A1B06">
      <w:pPr>
        <w:keepNext w:val="0"/>
        <w:keepLines w:val="0"/>
        <w:pageBreakBefore w:val="0"/>
        <w:widowControl/>
        <w:tabs>
          <w:tab w:val="left" w:pos="0"/>
        </w:tabs>
        <w:kinsoku/>
        <w:wordWrap/>
        <w:overflowPunct/>
        <w:topLinePunct w:val="0"/>
        <w:autoSpaceDE/>
        <w:autoSpaceDN/>
        <w:bidi w:val="0"/>
        <w:adjustRightInd/>
        <w:snapToGrid/>
        <w:spacing w:line="480" w:lineRule="exact"/>
        <w:ind w:left="420" w:leftChars="200" w:firstLine="300" w:firstLineChars="100"/>
        <w:textAlignment w:val="auto"/>
        <w:outlineLvl w:val="9"/>
        <w:rPr>
          <w:rFonts w:hint="eastAsia" w:ascii="仿宋" w:hAnsi="仿宋" w:eastAsia="仿宋" w:cs="仿宋"/>
          <w:b w:val="0"/>
          <w:bCs/>
          <w:i w:val="0"/>
          <w:iCs w:val="0"/>
          <w:sz w:val="30"/>
          <w:szCs w:val="30"/>
          <w:lang w:val="en-US" w:eastAsia="zh-CN"/>
        </w:rPr>
      </w:pPr>
      <w:bookmarkStart w:id="43" w:name="heading_6"/>
      <w:r>
        <w:rPr>
          <w:rFonts w:hint="eastAsia" w:ascii="仿宋" w:hAnsi="仿宋" w:eastAsia="仿宋" w:cs="仿宋"/>
          <w:b w:val="0"/>
          <w:bCs/>
          <w:i w:val="0"/>
          <w:iCs w:val="0"/>
          <w:sz w:val="30"/>
          <w:szCs w:val="30"/>
          <w:lang w:val="en-US" w:eastAsia="zh-CN"/>
        </w:rPr>
        <w:t>4.建设亮点与创新</w:t>
      </w:r>
      <w:bookmarkEnd w:id="43"/>
    </w:p>
    <w:p w14:paraId="01A0E422">
      <w:pPr>
        <w:numPr>
          <w:ilvl w:val="0"/>
          <w:numId w:val="0"/>
        </w:numPr>
        <w:spacing w:before="120" w:after="120" w:line="288" w:lineRule="auto"/>
        <w:ind w:firstLine="602" w:firstLineChars="200"/>
        <w:jc w:val="left"/>
        <w:outlineLvl w:val="9"/>
        <w:rPr>
          <w:rFonts w:hint="eastAsia" w:ascii="仿宋" w:hAnsi="仿宋" w:eastAsia="仿宋" w:cs="仿宋"/>
          <w:sz w:val="30"/>
          <w:szCs w:val="30"/>
        </w:rPr>
      </w:pPr>
      <w:r>
        <w:rPr>
          <w:rFonts w:hint="eastAsia" w:ascii="仿宋" w:hAnsi="仿宋" w:eastAsia="仿宋" w:cs="仿宋"/>
          <w:b/>
          <w:sz w:val="30"/>
          <w:szCs w:val="30"/>
          <w:lang w:val="en-US" w:eastAsia="zh-CN"/>
        </w:rPr>
        <w:t>①</w:t>
      </w:r>
      <w:r>
        <w:rPr>
          <w:rFonts w:hint="eastAsia" w:ascii="仿宋" w:hAnsi="仿宋" w:eastAsia="仿宋" w:cs="仿宋"/>
          <w:b/>
          <w:sz w:val="30"/>
          <w:szCs w:val="30"/>
        </w:rPr>
        <w:t>“人防+技防”立体化防控</w:t>
      </w:r>
      <w:r>
        <w:rPr>
          <w:rFonts w:hint="eastAsia" w:ascii="仿宋" w:hAnsi="仿宋" w:eastAsia="仿宋" w:cs="仿宋"/>
          <w:sz w:val="30"/>
          <w:szCs w:val="30"/>
        </w:rPr>
        <w:t>：融合人脸识别、全域监控、网络安全防护系统，构建全方位校园安全防线，通过信息安全等级保护二级测评，保障师生信息与校园安全。</w:t>
      </w:r>
    </w:p>
    <w:p w14:paraId="1EB212DB">
      <w:pPr>
        <w:numPr>
          <w:ilvl w:val="0"/>
          <w:numId w:val="0"/>
        </w:numPr>
        <w:spacing w:before="120" w:after="120" w:line="288" w:lineRule="auto"/>
        <w:ind w:firstLine="602" w:firstLineChars="200"/>
        <w:jc w:val="left"/>
        <w:outlineLvl w:val="9"/>
        <w:rPr>
          <w:rFonts w:hint="eastAsia" w:ascii="仿宋" w:hAnsi="仿宋" w:eastAsia="仿宋" w:cs="仿宋"/>
          <w:sz w:val="30"/>
          <w:szCs w:val="30"/>
        </w:rPr>
      </w:pPr>
      <w:r>
        <w:rPr>
          <w:rFonts w:hint="eastAsia" w:ascii="仿宋" w:hAnsi="仿宋" w:eastAsia="仿宋" w:cs="仿宋"/>
          <w:b/>
          <w:sz w:val="30"/>
          <w:szCs w:val="30"/>
          <w:lang w:val="en-US" w:eastAsia="zh-CN"/>
        </w:rPr>
        <w:t>②</w:t>
      </w:r>
      <w:r>
        <w:rPr>
          <w:rFonts w:hint="eastAsia" w:ascii="仿宋" w:hAnsi="仿宋" w:eastAsia="仿宋" w:cs="仿宋"/>
          <w:b/>
          <w:sz w:val="30"/>
          <w:szCs w:val="30"/>
        </w:rPr>
        <w:t>数据中台打破信息孤岛</w:t>
      </w:r>
      <w:r>
        <w:rPr>
          <w:rFonts w:hint="eastAsia" w:ascii="仿宋" w:hAnsi="仿宋" w:eastAsia="仿宋" w:cs="仿宋"/>
          <w:sz w:val="30"/>
          <w:szCs w:val="30"/>
        </w:rPr>
        <w:t>：整合教务、学生、后勤等多系统数据，实现跨部门数据互通与可视化分析，为招生、教学、管理决策提供精准数据支撑。</w:t>
      </w:r>
    </w:p>
    <w:p w14:paraId="7B1F4791">
      <w:pPr>
        <w:numPr>
          <w:ilvl w:val="0"/>
          <w:numId w:val="0"/>
        </w:numPr>
        <w:spacing w:before="120" w:after="120" w:line="288" w:lineRule="auto"/>
        <w:ind w:firstLine="602" w:firstLineChars="200"/>
        <w:jc w:val="left"/>
        <w:outlineLvl w:val="9"/>
        <w:rPr>
          <w:rFonts w:hint="eastAsia" w:ascii="仿宋" w:hAnsi="仿宋" w:eastAsia="仿宋" w:cs="仿宋"/>
          <w:sz w:val="30"/>
          <w:szCs w:val="30"/>
        </w:rPr>
      </w:pPr>
      <w:r>
        <w:rPr>
          <w:rFonts w:hint="eastAsia" w:ascii="仿宋" w:hAnsi="仿宋" w:eastAsia="仿宋" w:cs="仿宋"/>
          <w:b/>
          <w:sz w:val="30"/>
          <w:szCs w:val="30"/>
          <w:lang w:val="en-US" w:eastAsia="zh-CN"/>
        </w:rPr>
        <w:t>③</w:t>
      </w:r>
      <w:r>
        <w:rPr>
          <w:rFonts w:hint="eastAsia" w:ascii="仿宋" w:hAnsi="仿宋" w:eastAsia="仿宋" w:cs="仿宋"/>
          <w:b/>
          <w:sz w:val="30"/>
          <w:szCs w:val="30"/>
        </w:rPr>
        <w:t>全场景无纸化办公</w:t>
      </w:r>
      <w:r>
        <w:rPr>
          <w:rFonts w:hint="eastAsia" w:ascii="仿宋" w:hAnsi="仿宋" w:eastAsia="仿宋" w:cs="仿宋"/>
          <w:sz w:val="30"/>
          <w:szCs w:val="30"/>
        </w:rPr>
        <w:t>：OA办公、公文审批等系统全覆盖，实现听评课、请假、公文流转等流程线上化，大幅降低行政成本，提升办公效率。</w:t>
      </w:r>
    </w:p>
    <w:p w14:paraId="3FCEC470">
      <w:pPr>
        <w:ind w:firstLine="602" w:firstLineChars="200"/>
        <w:outlineLvl w:val="9"/>
        <w:rPr>
          <w:rFonts w:hint="default" w:ascii="仿宋" w:hAnsi="仿宋" w:eastAsia="仿宋" w:cs="仿宋"/>
          <w:b/>
          <w:bCs/>
          <w:sz w:val="30"/>
          <w:szCs w:val="30"/>
          <w:lang w:val="en-US" w:eastAsia="zh-CN"/>
        </w:rPr>
      </w:pPr>
      <w:r>
        <w:rPr>
          <w:rFonts w:hint="eastAsia" w:ascii="仿宋" w:hAnsi="仿宋" w:eastAsia="仿宋" w:cs="仿宋"/>
          <w:b/>
          <w:bCs/>
          <w:sz w:val="30"/>
          <w:szCs w:val="30"/>
          <w:lang w:val="en-US" w:eastAsia="zh-CN"/>
        </w:rPr>
        <w:t>典型案例2</w:t>
      </w:r>
    </w:p>
    <w:p w14:paraId="2A00C946">
      <w:pPr>
        <w:pStyle w:val="27"/>
        <w:bidi w:val="0"/>
        <w:spacing w:line="360" w:lineRule="auto"/>
        <w:jc w:val="center"/>
        <w:rPr>
          <w:rFonts w:hint="eastAsia"/>
          <w:lang w:val="en-US" w:eastAsia="zh-CN"/>
        </w:rPr>
      </w:pPr>
      <w:bookmarkStart w:id="44" w:name="_Toc29397"/>
      <w:bookmarkStart w:id="45" w:name="_Toc9209"/>
      <w:r>
        <w:rPr>
          <w:rFonts w:hint="eastAsia"/>
          <w:lang w:val="en-US" w:eastAsia="zh-CN"/>
        </w:rPr>
        <w:t>智慧赋能、数据驱动</w:t>
      </w:r>
      <w:bookmarkEnd w:id="44"/>
      <w:bookmarkEnd w:id="45"/>
    </w:p>
    <w:p w14:paraId="7AEEBA70">
      <w:pPr>
        <w:pStyle w:val="27"/>
        <w:bidi w:val="0"/>
        <w:spacing w:line="360" w:lineRule="auto"/>
        <w:jc w:val="right"/>
        <w:rPr>
          <w:rFonts w:hint="eastAsia" w:ascii="仿宋" w:hAnsi="仿宋" w:eastAsia="仿宋" w:cs="仿宋"/>
          <w:b w:val="0"/>
          <w:bCs w:val="0"/>
          <w:szCs w:val="32"/>
          <w:lang w:val="en-US" w:eastAsia="zh-CN"/>
        </w:rPr>
      </w:pPr>
      <w:bookmarkStart w:id="46" w:name="_Toc26671"/>
      <w:bookmarkStart w:id="47" w:name="_Toc20788"/>
      <w:bookmarkStart w:id="48" w:name="_Toc13817"/>
      <w:r>
        <w:rPr>
          <w:rFonts w:hint="eastAsia"/>
          <w:lang w:val="en-US" w:eastAsia="zh-CN"/>
        </w:rPr>
        <w:t>——构建现代化院校治理体系</w:t>
      </w:r>
      <w:bookmarkEnd w:id="46"/>
      <w:bookmarkEnd w:id="47"/>
      <w:bookmarkEnd w:id="48"/>
    </w:p>
    <w:p w14:paraId="63FF8369">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学校以智慧校园建设为核心，通过数据驱动与技术创新，有效推进了院校治理现代化，具体做法如下：</w:t>
      </w:r>
    </w:p>
    <w:p w14:paraId="0E954C50">
      <w:pPr>
        <w:numPr>
          <w:ilvl w:val="0"/>
          <w:numId w:val="0"/>
        </w:numPr>
        <w:spacing w:before="120" w:after="120" w:line="288" w:lineRule="auto"/>
        <w:ind w:firstLine="602" w:firstLineChars="200"/>
        <w:jc w:val="left"/>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一、夯实数字基础设施，打造智慧校园底座</w:t>
      </w:r>
    </w:p>
    <w:p w14:paraId="60EBE825">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升级硬件设施，配置计算机959台、多媒体教室70余间、仿真实训室8间等，满足多样化教学需求。建设高性能数据中心，采用虚拟化与云计算技术构建服务器集群，存储容量达50TB。优化网络基础，实现千兆主干、百兆到桌面的有线网络与主要区域无线覆盖，总带宽达600兆。强化网络安全体系，按等保二级标准配备防护设备，保障系统稳定运行。</w:t>
      </w:r>
    </w:p>
    <w:p w14:paraId="619E28ED">
      <w:pPr>
        <w:numPr>
          <w:ilvl w:val="0"/>
          <w:numId w:val="0"/>
        </w:numPr>
        <w:spacing w:before="120" w:after="120" w:line="288" w:lineRule="auto"/>
        <w:ind w:firstLine="602" w:firstLineChars="200"/>
        <w:jc w:val="left"/>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二、推进教学智能化，构建融合创新生态</w:t>
      </w:r>
    </w:p>
    <w:p w14:paraId="3AC6521D">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立“引进+开发”资源供给机制，联通上级平台并自建专业资源库与精品课程，资源总量达3568件。打造“线上+线下”混合教学模式，运用AR/VR、大数据等技术拓展学习时空。构建“过程+结果”学业评价体系，实现全流程动态评价。搭建跨校网络教研平台，促进校际协作与资源共享。</w:t>
      </w:r>
    </w:p>
    <w:p w14:paraId="10149154">
      <w:pPr>
        <w:numPr>
          <w:ilvl w:val="0"/>
          <w:numId w:val="0"/>
        </w:numPr>
        <w:spacing w:before="120" w:after="120" w:line="288" w:lineRule="auto"/>
        <w:ind w:firstLine="602" w:firstLineChars="200"/>
        <w:jc w:val="left"/>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三、建设智慧管理平台，提升治理能力</w:t>
      </w:r>
    </w:p>
    <w:p w14:paraId="3A2F8AFB">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集成教务、请假、消费等20余项高频业务至“一站式”办事大厅，实现移动端便捷办理。构建数据中台，汇聚教学、管理、服务等全场景数据，支持可视化决策分析，推动数据驱动治理。</w:t>
      </w:r>
    </w:p>
    <w:p w14:paraId="758DE60D">
      <w:pPr>
        <w:numPr>
          <w:ilvl w:val="0"/>
          <w:numId w:val="0"/>
        </w:numPr>
        <w:spacing w:before="120" w:after="120" w:line="288" w:lineRule="auto"/>
        <w:ind w:firstLine="602" w:firstLineChars="200"/>
        <w:jc w:val="left"/>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四、强化师生信息素养培训</w:t>
      </w:r>
    </w:p>
    <w:p w14:paraId="1E7B4BC3">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面向学生开设信息素养课程与数字技能培训；组织教师开展信息化教学培训与竞赛，提升数字技术应用与资源开发能力；对管理者进行数字化转型领导力培训，营造“用数据、讲效率”的校园文化。</w:t>
      </w:r>
    </w:p>
    <w:p w14:paraId="1DE9BD53">
      <w:pPr>
        <w:numPr>
          <w:ilvl w:val="0"/>
          <w:numId w:val="0"/>
        </w:numPr>
        <w:spacing w:before="120" w:after="120" w:line="288" w:lineRule="auto"/>
        <w:ind w:firstLine="602" w:firstLineChars="200"/>
        <w:jc w:val="left"/>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五、深化产教融合与社会服务</w:t>
      </w:r>
    </w:p>
    <w:p w14:paraId="5E620DA3">
      <w:pPr>
        <w:numPr>
          <w:ilvl w:val="0"/>
          <w:numId w:val="0"/>
        </w:numPr>
        <w:spacing w:before="120" w:after="120" w:line="288" w:lineRule="auto"/>
        <w:ind w:firstLine="600" w:firstLineChars="200"/>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搭建校企数据平台，优化课程设置，精准对接企业需求。近五年累计为社会提供线上培训超6万人次，助力乡村振兴与区域产业发展。</w:t>
      </w:r>
    </w:p>
    <w:p w14:paraId="458FEB10">
      <w:pPr>
        <w:numPr>
          <w:ilvl w:val="0"/>
          <w:numId w:val="0"/>
        </w:numPr>
        <w:spacing w:before="120" w:after="120" w:line="288" w:lineRule="auto"/>
        <w:ind w:firstLine="600" w:firstLineChars="200"/>
        <w:jc w:val="left"/>
        <w:outlineLvl w:val="9"/>
        <w:rPr>
          <w:rFonts w:hint="eastAsia" w:ascii="仿宋_GB2312" w:hAnsi="Yu Mincho Light" w:eastAsia="仿宋_GB2312" w:cs="Yu Mincho Light"/>
          <w:b/>
          <w:bCs/>
          <w:sz w:val="32"/>
          <w:lang w:val="en-US" w:eastAsia="zh-CN"/>
        </w:rPr>
      </w:pPr>
      <w:r>
        <w:rPr>
          <w:rFonts w:hint="eastAsia" w:ascii="仿宋" w:hAnsi="仿宋" w:eastAsia="仿宋" w:cs="仿宋"/>
          <w:sz w:val="30"/>
          <w:szCs w:val="30"/>
          <w:lang w:val="en-US" w:eastAsia="zh-CN"/>
        </w:rPr>
        <w:t xml:space="preserve">通过以上措施，学校实现了管理精细化、教学智能化和服务便捷化，为职业院校治理现代化提供了可借鉴的实践路径。     </w:t>
      </w:r>
    </w:p>
    <w:p w14:paraId="116069F1">
      <w:pPr>
        <w:numPr>
          <w:ilvl w:val="0"/>
          <w:numId w:val="0"/>
        </w:numPr>
        <w:spacing w:before="120" w:after="120" w:line="288" w:lineRule="auto"/>
        <w:ind w:firstLine="643" w:firstLineChars="200"/>
        <w:jc w:val="left"/>
        <w:outlineLvl w:val="2"/>
        <w:rPr>
          <w:rFonts w:hint="eastAsia" w:ascii="华文楷体" w:hAnsi="华文楷体" w:eastAsia="华文楷体" w:cs="华文楷体"/>
          <w:b/>
          <w:bCs/>
          <w:color w:val="FF0000"/>
          <w:sz w:val="28"/>
          <w:szCs w:val="28"/>
          <w:lang w:val="en-US" w:eastAsia="zh-CN"/>
        </w:rPr>
      </w:pPr>
      <w:bookmarkStart w:id="49" w:name="_Toc10806"/>
      <w:r>
        <w:rPr>
          <w:rFonts w:hint="eastAsia" w:ascii="仿宋_GB2312" w:hAnsi="Yu Mincho Light" w:eastAsia="仿宋_GB2312" w:cs="Yu Mincho Light"/>
          <w:b/>
          <w:bCs/>
          <w:sz w:val="32"/>
          <w:lang w:val="en-US" w:eastAsia="zh-CN"/>
        </w:rPr>
        <w:t>1.</w:t>
      </w:r>
      <w:r>
        <w:rPr>
          <w:rFonts w:hint="eastAsia" w:ascii="仿宋_GB2312" w:hAnsi="Yu Mincho Light" w:eastAsia="仿宋_GB2312" w:cs="Yu Mincho Light"/>
          <w:b/>
          <w:bCs/>
          <w:sz w:val="32"/>
        </w:rPr>
        <w:t>2.</w:t>
      </w:r>
      <w:r>
        <w:rPr>
          <w:rFonts w:hint="eastAsia" w:ascii="仿宋_GB2312" w:hAnsi="Yu Mincho Light" w:eastAsia="仿宋_GB2312" w:cs="Yu Mincho Light"/>
          <w:b/>
          <w:bCs/>
          <w:sz w:val="32"/>
          <w:lang w:val="en-US" w:eastAsia="zh-CN"/>
        </w:rPr>
        <w:t>2</w:t>
      </w:r>
      <w:r>
        <w:rPr>
          <w:rFonts w:hint="eastAsia" w:ascii="仿宋_GB2312" w:hAnsi="Yu Mincho Light" w:eastAsia="仿宋_GB2312" w:cs="Yu Mincho Light"/>
          <w:b/>
          <w:bCs/>
          <w:sz w:val="32"/>
        </w:rPr>
        <w:t>实习实训</w:t>
      </w:r>
      <w:bookmarkEnd w:id="49"/>
    </w:p>
    <w:p w14:paraId="0278585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根据教育部、财政部等八部门联合印发的《中等职业学校学生实习管理办法》文件精神，我校结合人才培养实际，制定了《学生岗位实习规定（暂行）》，规范开展岗位实习管理工作。</w:t>
      </w:r>
    </w:p>
    <w:p w14:paraId="4FB055F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按照培养方案，学生在校完成两年理论与技能学习后，于三年级第一学期启动岗位实习环节。为确保实习质量，学校先由相关部门组建调研小组，对拟合作实习企业开展实地考察，形成专项调研报告，经学校办公会议审议通过后，确定最终实习单位名录。</w:t>
      </w:r>
    </w:p>
    <w:p w14:paraId="158B17B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为保障实习工作有序推进，学校成立学生实习工作领导小组，由分管教学副校长担任组长，各系部实训主任任副组长，各实习班级班主任及招生就业处相关人员为成员，统筹协调实习各项事宜。实习前，学校统一组织召开家长动员会，明确实习要求、安全注意事项及权责义务，并与学生、家长、实习单位签订三方实习协议。学生若对统一安排的实习单位不满意，可按规定提交自主实习申请，经审核通过后执行。对于一些风险较大的岗位实习，学校安排校内仿真实训代替实际岗位实习。</w:t>
      </w:r>
    </w:p>
    <w:p w14:paraId="305FA3FD">
      <w:pPr>
        <w:pageBreakBefore w:val="0"/>
        <w:kinsoku/>
        <w:wordWrap/>
        <w:overflowPunct/>
        <w:topLinePunct w:val="0"/>
        <w:autoSpaceDE/>
        <w:autoSpaceDN/>
        <w:bidi w:val="0"/>
        <w:adjustRightInd/>
        <w:snapToGrid/>
        <w:spacing w:line="500" w:lineRule="exact"/>
        <w:ind w:firstLine="602" w:firstLineChars="200"/>
        <w:outlineLvl w:val="2"/>
        <w:rPr>
          <w:rFonts w:hint="default" w:ascii="仿宋" w:hAnsi="仿宋" w:eastAsia="仿宋" w:cs="仿宋"/>
          <w:b/>
          <w:bCs/>
          <w:caps w:val="0"/>
          <w:kern w:val="2"/>
          <w:sz w:val="30"/>
          <w:szCs w:val="30"/>
          <w:lang w:val="en-US" w:eastAsia="zh-CN" w:bidi="ar-SA"/>
        </w:rPr>
      </w:pPr>
      <w:bookmarkStart w:id="50" w:name="_Toc15746"/>
      <w:r>
        <w:rPr>
          <w:rFonts w:hint="eastAsia" w:ascii="仿宋" w:hAnsi="仿宋" w:eastAsia="仿宋" w:cs="仿宋"/>
          <w:b/>
          <w:bCs/>
          <w:caps w:val="0"/>
          <w:kern w:val="2"/>
          <w:sz w:val="30"/>
          <w:szCs w:val="30"/>
          <w:lang w:val="en-US" w:eastAsia="zh-CN" w:bidi="ar-SA"/>
        </w:rPr>
        <w:t>1.2.3 专业建设</w:t>
      </w:r>
      <w:bookmarkEnd w:id="50"/>
    </w:p>
    <w:p w14:paraId="1C5CA6BA">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color w:val="000000" w:themeColor="text1"/>
          <w:sz w:val="30"/>
          <w:szCs w:val="30"/>
          <w14:textFill>
            <w14:solidFill>
              <w14:schemeClr w14:val="tx1"/>
            </w14:solidFill>
          </w14:textFill>
        </w:rPr>
        <w:t>职业教育与就业密不可分，就业乃民生之本，它关系到学校学生的切身利益，因此学校设置的专业包括课程建设都应切合社会需要，适应就业市场需要。邀请各专业行业专家到校召开专业发展委员会，对各专业人才培养方案进行专业认证，学校根据委员会的意见及建议，对建筑工程施工、工程造价、市政工程技术、机电技术应用、汽车应用与维修、电气设备运行与控制、分析检验技术、计算机网络技术、物联网技术、会计事务、首饰设计与制作、康复技术等专业的人才培养方案进行调整。继续前往有关企事业单位作进一步调研，了解社会市场对技术技能人才的需求量，对接上杭当地支柱产业的需求，新办化学工艺、中医护理专业。目前学校建筑工程施工专业为省级重点专业，机电技术应用、幼儿保育、计算机应用为市级重点专业。继续做好以建筑工程施工、机电技术应用为核心专业的高水平专业群建设，做到资源共享，建筑工程施工专业群被确定为2016年福建省职业院校服务产业特色专业群建设项目并于2021年10月由福建省教育厅确定为“福建省高水平专业群A类”建设项目,2017年5月我校制造类专业群被福建省教育厅确定为2017年福建省职业院校服务产业特色专业群建设项目，2020年我校建筑工程专业群实训基地和制造专业群实训基地被省教育厅确定为高水平专业化产教融合实训基地。</w:t>
      </w:r>
    </w:p>
    <w:p w14:paraId="4F9B9A96">
      <w:pPr>
        <w:tabs>
          <w:tab w:val="left" w:pos="958"/>
          <w:tab w:val="left" w:pos="1078"/>
        </w:tabs>
        <w:spacing w:line="560" w:lineRule="exact"/>
        <w:ind w:firstLine="602" w:firstLineChars="200"/>
        <w:outlineLvl w:val="2"/>
        <w:rPr>
          <w:rFonts w:hint="eastAsia" w:ascii="仿宋_GB2312" w:hAnsi="Yu Mincho Light" w:eastAsia="仿宋_GB2312" w:cs="Yu Mincho Light"/>
          <w:b/>
          <w:bCs/>
          <w:sz w:val="32"/>
        </w:rPr>
      </w:pPr>
      <w:bookmarkStart w:id="51" w:name="_Toc30870"/>
      <w:r>
        <w:rPr>
          <w:rFonts w:hint="eastAsia" w:ascii="仿宋" w:hAnsi="仿宋" w:eastAsia="仿宋" w:cs="Times New Roman"/>
          <w:b/>
          <w:bCs/>
          <w:color w:val="000000" w:themeColor="text1"/>
          <w:sz w:val="30"/>
          <w:szCs w:val="30"/>
          <w:lang w:val="en-US" w:eastAsia="zh-CN"/>
          <w14:textFill>
            <w14:solidFill>
              <w14:schemeClr w14:val="tx1"/>
            </w14:solidFill>
          </w14:textFill>
        </w:rPr>
        <w:t xml:space="preserve">1.2.4 </w:t>
      </w:r>
      <w:r>
        <w:rPr>
          <w:rFonts w:hint="eastAsia" w:ascii="仿宋_GB2312" w:hAnsi="Yu Mincho Light" w:eastAsia="仿宋_GB2312" w:cs="Yu Mincho Light"/>
          <w:b/>
          <w:bCs/>
          <w:sz w:val="32"/>
        </w:rPr>
        <w:t>课程建设</w:t>
      </w:r>
      <w:bookmarkEnd w:id="51"/>
    </w:p>
    <w:p w14:paraId="4A21B886">
      <w:pPr>
        <w:spacing w:line="580" w:lineRule="exact"/>
        <w:ind w:firstLine="600"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color w:val="000000" w:themeColor="text1"/>
          <w:sz w:val="30"/>
          <w:szCs w:val="30"/>
          <w14:textFill>
            <w14:solidFill>
              <w14:schemeClr w14:val="tx1"/>
            </w14:solidFill>
          </w14:textFill>
        </w:rPr>
        <w:t>本校始终以行业发展趋势和学生就业能力提升需求为核心，科学规划课程体系，深化校企协同开发，构建 “岗课赛证” 融通的课程生态，推动课程内容与职业标准、生产过程深度对接。</w:t>
      </w:r>
    </w:p>
    <w:p w14:paraId="46D66B9F">
      <w:pPr>
        <w:tabs>
          <w:tab w:val="left" w:pos="958"/>
          <w:tab w:val="left" w:pos="1078"/>
        </w:tabs>
        <w:spacing w:line="560" w:lineRule="exact"/>
        <w:ind w:firstLine="602"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b/>
          <w:bCs/>
          <w:color w:val="000000" w:themeColor="text1"/>
          <w:sz w:val="30"/>
          <w:szCs w:val="30"/>
          <w14:textFill>
            <w14:solidFill>
              <w14:schemeClr w14:val="tx1"/>
            </w14:solidFill>
          </w14:textFill>
        </w:rPr>
        <w:t>校企开发课程体系</w:t>
      </w:r>
      <w:r>
        <w:rPr>
          <w:rFonts w:hint="eastAsia" w:ascii="仿宋" w:hAnsi="仿宋" w:eastAsia="仿宋" w:cs="Times New Roman"/>
          <w:b/>
          <w:bCs/>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联合行业龙头企业、行业协会组建课程开发专家团队，围绕建筑工程、新材料与智能制造、信息工程等重点领域，共同梳理岗位核心能力，开发模块化课程模块。2025年，新增校企合作开发课程 1 门</w:t>
      </w:r>
      <w:r>
        <w:rPr>
          <w:rFonts w:hint="eastAsia" w:ascii="仿宋" w:hAnsi="仿宋" w:eastAsia="仿宋" w:cs="Times New Roman"/>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lang w:val="en-US" w:eastAsia="zh-CN"/>
          <w14:textFill>
            <w14:solidFill>
              <w14:schemeClr w14:val="tx1"/>
            </w14:solidFill>
          </w14:textFill>
        </w:rPr>
        <w:t>建筑工程实训手册</w:t>
      </w:r>
      <w:r>
        <w:rPr>
          <w:rFonts w:hint="eastAsia" w:ascii="仿宋" w:hAnsi="仿宋" w:eastAsia="仿宋" w:cs="Times New Roman"/>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，课程内容融入企业真实生产任务实现 “教学做一体化”。</w:t>
      </w:r>
    </w:p>
    <w:p w14:paraId="1A0CA8AD">
      <w:pPr>
        <w:tabs>
          <w:tab w:val="left" w:pos="958"/>
          <w:tab w:val="left" w:pos="1078"/>
        </w:tabs>
        <w:spacing w:line="560" w:lineRule="exact"/>
        <w:ind w:firstLine="602"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b/>
          <w:bCs/>
          <w:color w:val="000000" w:themeColor="text1"/>
          <w:sz w:val="30"/>
          <w:szCs w:val="30"/>
          <w14:textFill>
            <w14:solidFill>
              <w14:schemeClr w14:val="tx1"/>
            </w14:solidFill>
          </w14:textFill>
        </w:rPr>
        <w:t>核心课程建设</w:t>
      </w:r>
      <w:r>
        <w:rPr>
          <w:rFonts w:hint="eastAsia" w:ascii="仿宋" w:hAnsi="仿宋" w:eastAsia="仿宋" w:cs="Times New Roman"/>
          <w:b/>
          <w:bCs/>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聚焦省级高水平专业群（建筑工程施工专业群）打造核心课程集群。核心课程建设注重 “理论 - 实践 - 竞赛” 融合，如《工程测量》课程融入省级技能大赛考点，2025 年该课程对应赛项学生获奖率较 2024 年提升 18%；《建筑 CAD》课程对接 1+X 建筑工程识图证书标准，证书通过率从 2024 年的 92% 提升至 2025 年的 98%。</w:t>
      </w:r>
    </w:p>
    <w:p w14:paraId="468E580A">
      <w:pPr>
        <w:tabs>
          <w:tab w:val="left" w:pos="958"/>
          <w:tab w:val="left" w:pos="1078"/>
        </w:tabs>
        <w:spacing w:line="560" w:lineRule="exact"/>
        <w:ind w:firstLine="602"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b/>
          <w:bCs/>
          <w:color w:val="000000" w:themeColor="text1"/>
          <w:sz w:val="30"/>
          <w:szCs w:val="30"/>
          <w14:textFill>
            <w14:solidFill>
              <w14:schemeClr w14:val="tx1"/>
            </w14:solidFill>
          </w14:textFill>
        </w:rPr>
        <w:t>精品在线课程建设</w:t>
      </w:r>
      <w:r>
        <w:rPr>
          <w:rFonts w:hint="eastAsia" w:ascii="仿宋" w:hAnsi="仿宋" w:eastAsia="仿宋" w:cs="Times New Roman"/>
          <w:b/>
          <w:bCs/>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加快数字化课程资源开发，依托学校智慧校园平台，构建 “线上 + 线下” 混合式教学资源库。2025 年，在线课程涵盖视频资源、虚拟仿真实验、题库等多元内容，年均访问量达 12 万人次，较 2024 年增长 33%。例如，《建筑构造》在线课程包含 3D 动画演示 28 个、虚拟拆装实验 5 个，学生自主学习时长平均达 45 小时 / 学期，课程满意度达 96%。</w:t>
      </w:r>
    </w:p>
    <w:p w14:paraId="5A9DFB2D">
      <w:pPr>
        <w:pStyle w:val="39"/>
        <w:bidi w:val="0"/>
        <w:rPr>
          <w:rFonts w:hint="default"/>
          <w:lang w:val="en-US" w:eastAsia="zh-CN"/>
        </w:rPr>
      </w:pPr>
      <w:bookmarkStart w:id="52" w:name="_Toc2684"/>
      <w:r>
        <w:rPr>
          <w:rFonts w:hint="eastAsia"/>
          <w:lang w:val="en-US" w:eastAsia="zh-CN"/>
        </w:rPr>
        <w:t>表5   2024-2025 学年各类课程开发情况一览表</w:t>
      </w:r>
      <w:bookmarkEnd w:id="52"/>
    </w:p>
    <w:tbl>
      <w:tblPr>
        <w:tblStyle w:val="19"/>
        <w:tblW w:w="8463" w:type="dxa"/>
        <w:jc w:val="center"/>
        <w:tblBorders>
          <w:top w:val="none" w:color="auto" w:sz="0" w:space="0"/>
          <w:left w:val="single" w:color="auto" w:sz="2" w:space="0"/>
          <w:bottom w:val="single" w:color="auto" w:sz="2" w:space="0"/>
          <w:right w:val="single" w:color="auto" w:sz="2"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152"/>
        <w:gridCol w:w="1594"/>
        <w:gridCol w:w="1594"/>
        <w:gridCol w:w="1123"/>
      </w:tblGrid>
      <w:tr w14:paraId="335518E4">
        <w:tblPrEx>
          <w:tblCellMar>
            <w:top w:w="0" w:type="dxa"/>
            <w:left w:w="0" w:type="dxa"/>
            <w:bottom w:w="0" w:type="dxa"/>
            <w:right w:w="0" w:type="dxa"/>
          </w:tblCellMar>
        </w:tblPrEx>
        <w:trPr>
          <w:trHeight w:val="0" w:hRule="atLeast"/>
          <w:tblHeader/>
          <w:jc w:val="center"/>
        </w:trPr>
        <w:tc>
          <w:tcPr>
            <w:tcW w:w="4152" w:type="dxa"/>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48B8AEFE">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指标</w:t>
            </w:r>
          </w:p>
        </w:tc>
        <w:tc>
          <w:tcPr>
            <w:tcW w:w="1594" w:type="dxa"/>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7F23F7B3">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2024学年</w:t>
            </w:r>
          </w:p>
        </w:tc>
        <w:tc>
          <w:tcPr>
            <w:tcW w:w="1594" w:type="dxa"/>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6652F73C">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2025学年</w:t>
            </w:r>
          </w:p>
        </w:tc>
        <w:tc>
          <w:tcPr>
            <w:tcW w:w="1123" w:type="dxa"/>
            <w:tcBorders>
              <w:top w:val="single" w:color="auto" w:sz="4" w:space="0"/>
              <w:left w:val="single" w:color="auto" w:sz="4" w:space="0"/>
              <w:bottom w:val="single" w:color="auto" w:sz="4" w:space="0"/>
              <w:right w:val="single" w:color="auto" w:sz="4" w:space="0"/>
            </w:tcBorders>
            <w:shd w:val="clear" w:color="auto" w:fill="F2F2F2"/>
            <w:tcMar>
              <w:top w:w="144" w:type="dxa"/>
              <w:left w:w="216" w:type="dxa"/>
              <w:bottom w:w="144" w:type="dxa"/>
              <w:right w:w="216" w:type="dxa"/>
            </w:tcMar>
            <w:vAlign w:val="center"/>
          </w:tcPr>
          <w:p w14:paraId="1A0E98B0">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b/>
                <w:bCs/>
                <w:color w:val="000000"/>
                <w:sz w:val="24"/>
                <w:szCs w:val="24"/>
              </w:rPr>
            </w:pPr>
            <w:r>
              <w:rPr>
                <w:rFonts w:hint="eastAsia" w:ascii="仿宋" w:hAnsi="仿宋" w:eastAsia="仿宋" w:cs="仿宋"/>
                <w:b/>
                <w:bCs/>
                <w:color w:val="000000"/>
                <w:kern w:val="0"/>
                <w:sz w:val="24"/>
                <w:szCs w:val="24"/>
                <w:lang w:val="en-US" w:eastAsia="zh-CN" w:bidi="ar"/>
              </w:rPr>
              <w:t>增幅</w:t>
            </w:r>
          </w:p>
        </w:tc>
      </w:tr>
      <w:tr w14:paraId="67F2E8E1">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4152"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623AE0B8">
            <w:pPr>
              <w:keepNext w:val="0"/>
              <w:keepLines w:val="0"/>
              <w:widowControl/>
              <w:suppressLineNumbers w:val="0"/>
              <w:snapToGrid w:val="0"/>
              <w:spacing w:before="0" w:beforeAutospacing="0" w:after="0" w:afterAutospacing="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校企合作开发课程数（门）</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23FC52E1">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25</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31EE1CDF">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37</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568F5540">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48.0%</w:t>
            </w:r>
          </w:p>
        </w:tc>
      </w:tr>
      <w:tr w14:paraId="210AD781">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4152"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759DAC25">
            <w:pPr>
              <w:keepNext w:val="0"/>
              <w:keepLines w:val="0"/>
              <w:widowControl/>
              <w:suppressLineNumbers w:val="0"/>
              <w:snapToGrid w:val="0"/>
              <w:spacing w:before="0" w:beforeAutospacing="0" w:after="0" w:afterAutospacing="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省级及以上精品课程数（门）</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003765E1">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3</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E7A0319">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4</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0C8B4FC8">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33.3%</w:t>
            </w:r>
          </w:p>
        </w:tc>
      </w:tr>
      <w:tr w14:paraId="42C115F1">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4152"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50110AAC">
            <w:pPr>
              <w:keepNext w:val="0"/>
              <w:keepLines w:val="0"/>
              <w:widowControl/>
              <w:suppressLineNumbers w:val="0"/>
              <w:snapToGrid w:val="0"/>
              <w:spacing w:before="0" w:beforeAutospacing="0" w:after="0" w:afterAutospacing="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精品在线课程数（门）</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62F0032B">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15</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2AB8BC11">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23</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28C17053">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53.3%</w:t>
            </w:r>
          </w:p>
        </w:tc>
      </w:tr>
      <w:tr w14:paraId="7AA65989">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4152"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0AD4FC1">
            <w:pPr>
              <w:keepNext w:val="0"/>
              <w:keepLines w:val="0"/>
              <w:widowControl/>
              <w:suppressLineNumbers w:val="0"/>
              <w:snapToGrid w:val="0"/>
              <w:spacing w:before="0" w:beforeAutospacing="0" w:after="0" w:afterAutospacing="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1+X 证书对接课程数（门）</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0805AF2F">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8</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41BA41B9">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13</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523B7F80">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62.5%</w:t>
            </w:r>
          </w:p>
        </w:tc>
      </w:tr>
      <w:tr w14:paraId="3DB95004">
        <w:tblPrEx>
          <w:tblBorders>
            <w:top w:val="single" w:color="auto" w:sz="4" w:space="0"/>
            <w:left w:val="single" w:color="auto" w:sz="2" w:space="0"/>
            <w:bottom w:val="single" w:color="auto" w:sz="2" w:space="0"/>
            <w:right w:val="single" w:color="auto" w:sz="2"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4152"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13D9FD8F">
            <w:pPr>
              <w:keepNext w:val="0"/>
              <w:keepLines w:val="0"/>
              <w:widowControl/>
              <w:suppressLineNumbers w:val="0"/>
              <w:snapToGrid w:val="0"/>
              <w:spacing w:before="0" w:beforeAutospacing="0" w:after="0" w:afterAutospacing="0" w:line="240" w:lineRule="auto"/>
              <w:ind w:left="0" w:leftChars="0" w:right="0" w:rightChars="0" w:firstLine="0" w:firstLineChars="0"/>
              <w:jc w:val="left"/>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在线课程年均访问量（万人次）</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40A93BB1">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9</w:t>
            </w:r>
          </w:p>
        </w:tc>
        <w:tc>
          <w:tcPr>
            <w:tcW w:w="1594"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2A1DE54B">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12</w:t>
            </w:r>
          </w:p>
        </w:tc>
        <w:tc>
          <w:tcPr>
            <w:tcW w:w="1123" w:type="dxa"/>
            <w:tcBorders>
              <w:top w:val="single" w:color="auto" w:sz="4" w:space="0"/>
              <w:left w:val="single" w:color="auto" w:sz="4" w:space="0"/>
              <w:bottom w:val="single" w:color="auto" w:sz="4" w:space="0"/>
              <w:right w:val="single" w:color="auto" w:sz="4" w:space="0"/>
            </w:tcBorders>
            <w:shd w:val="clear" w:color="auto" w:fill="auto"/>
            <w:tcMar>
              <w:top w:w="144" w:type="dxa"/>
              <w:left w:w="216" w:type="dxa"/>
              <w:bottom w:w="144" w:type="dxa"/>
              <w:right w:w="216" w:type="dxa"/>
            </w:tcMar>
            <w:vAlign w:val="center"/>
          </w:tcPr>
          <w:p w14:paraId="0637801A">
            <w:pPr>
              <w:keepNext w:val="0"/>
              <w:keepLines w:val="0"/>
              <w:widowControl/>
              <w:suppressLineNumbers w:val="0"/>
              <w:snapToGrid w:val="0"/>
              <w:spacing w:before="0" w:beforeAutospacing="0" w:after="0" w:afterAutospacing="0" w:line="240" w:lineRule="auto"/>
              <w:ind w:left="0" w:leftChars="0" w:right="0" w:rightChars="0" w:firstLine="0" w:firstLineChars="0"/>
              <w:jc w:val="center"/>
              <w:outlineLvl w:val="9"/>
              <w:rPr>
                <w:rFonts w:hint="eastAsia" w:ascii="仿宋" w:hAnsi="仿宋" w:eastAsia="仿宋" w:cs="仿宋"/>
                <w:sz w:val="24"/>
                <w:szCs w:val="24"/>
              </w:rPr>
            </w:pPr>
            <w:r>
              <w:rPr>
                <w:rFonts w:hint="eastAsia" w:ascii="仿宋" w:hAnsi="仿宋" w:eastAsia="仿宋" w:cs="仿宋"/>
                <w:kern w:val="0"/>
                <w:sz w:val="24"/>
                <w:szCs w:val="24"/>
                <w:lang w:val="en-US" w:eastAsia="zh-CN" w:bidi="ar"/>
              </w:rPr>
              <w:t>33.3%</w:t>
            </w:r>
          </w:p>
        </w:tc>
      </w:tr>
    </w:tbl>
    <w:p w14:paraId="5F4FADA1">
      <w:pPr>
        <w:spacing w:line="580" w:lineRule="exact"/>
        <w:outlineLvl w:val="9"/>
        <w:rPr>
          <w:rFonts w:hint="eastAsia" w:ascii="仿宋_GB2312" w:hAnsi="Yu Mincho Light" w:eastAsia="仿宋_GB2312" w:cs="Yu Mincho Light"/>
          <w:b/>
          <w:bCs/>
          <w:sz w:val="32"/>
        </w:rPr>
      </w:pPr>
    </w:p>
    <w:p w14:paraId="3733AB50">
      <w:pPr>
        <w:spacing w:line="580" w:lineRule="exact"/>
        <w:ind w:firstLine="643" w:firstLineChars="200"/>
        <w:outlineLvl w:val="2"/>
        <w:rPr>
          <w:rFonts w:hint="eastAsia" w:ascii="华文楷体" w:hAnsi="华文楷体" w:eastAsia="华文楷体" w:cs="华文楷体"/>
          <w:b/>
          <w:bCs/>
          <w:color w:val="FF0000"/>
          <w:sz w:val="28"/>
          <w:szCs w:val="28"/>
          <w:lang w:val="en-US" w:eastAsia="zh-CN"/>
        </w:rPr>
      </w:pPr>
      <w:bookmarkStart w:id="53" w:name="_Toc14502"/>
      <w:r>
        <w:rPr>
          <w:rFonts w:hint="eastAsia" w:ascii="仿宋_GB2312" w:hAnsi="Yu Mincho Light" w:eastAsia="仿宋_GB2312" w:cs="Yu Mincho Light"/>
          <w:b/>
          <w:bCs/>
          <w:sz w:val="32"/>
          <w:lang w:val="en-US" w:eastAsia="zh-CN"/>
        </w:rPr>
        <w:t xml:space="preserve">1.2.5 </w:t>
      </w:r>
      <w:r>
        <w:rPr>
          <w:rFonts w:hint="eastAsia" w:ascii="仿宋_GB2312" w:hAnsi="Yu Mincho Light" w:eastAsia="仿宋_GB2312" w:cs="Yu Mincho Light"/>
          <w:b/>
          <w:bCs/>
          <w:sz w:val="32"/>
        </w:rPr>
        <w:t>教材建设</w:t>
      </w:r>
      <w:bookmarkEnd w:id="53"/>
    </w:p>
    <w:p w14:paraId="06446C5A">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color w:val="000000" w:themeColor="text1"/>
          <w:sz w:val="30"/>
          <w:szCs w:val="30"/>
          <w14:textFill>
            <w14:solidFill>
              <w14:schemeClr w14:val="tx1"/>
            </w14:solidFill>
          </w14:textFill>
        </w:rPr>
        <w:t>本校严格遵循《职业院校教材管理办法》，建立 “国家规划教材为主、校企开发教材为辅、校本特色教材补充” 的教材体系，重点推进活页式、工作手册式、融媒体教材开发，强化教材与岗位需求的适配性。</w:t>
      </w:r>
    </w:p>
    <w:p w14:paraId="2651E89F">
      <w:pPr>
        <w:tabs>
          <w:tab w:val="left" w:pos="958"/>
          <w:tab w:val="left" w:pos="1078"/>
        </w:tabs>
        <w:spacing w:line="560" w:lineRule="exact"/>
        <w:ind w:firstLine="602"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b/>
          <w:bCs/>
          <w:color w:val="000000" w:themeColor="text1"/>
          <w:sz w:val="30"/>
          <w:szCs w:val="30"/>
          <w14:textFill>
            <w14:solidFill>
              <w14:schemeClr w14:val="tx1"/>
            </w14:solidFill>
          </w14:textFill>
        </w:rPr>
        <w:t>教材选用与管理</w:t>
      </w:r>
      <w:r>
        <w:rPr>
          <w:rFonts w:hint="eastAsia" w:ascii="仿宋" w:hAnsi="仿宋" w:eastAsia="仿宋" w:cs="Times New Roman"/>
          <w:b/>
          <w:bCs/>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2025 年，学校开课课程总数 328 门，选用教材总数 192 种，其中国家规划教材 156 种，国家规划教材使用率达 81.2%，较 2024 年提升 5.3 个百分点。教材选用实行 “分级审核、公开公示” 制度，成立由校长牵头的教材工作指导机构，各专业系组建教材选用小组，每学期开展教材使用效果评估，评估覆盖率 100%。针对过时、不符岗位需求的教材及时更新，2025 年累计更新教材 28 种，更新率 14.6%。</w:t>
      </w:r>
    </w:p>
    <w:p w14:paraId="67548890">
      <w:pPr>
        <w:tabs>
          <w:tab w:val="left" w:pos="958"/>
          <w:tab w:val="left" w:pos="1078"/>
        </w:tabs>
        <w:spacing w:line="560" w:lineRule="exact"/>
        <w:ind w:firstLine="602"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b/>
          <w:bCs/>
          <w:color w:val="000000" w:themeColor="text1"/>
          <w:sz w:val="30"/>
          <w:szCs w:val="30"/>
          <w14:textFill>
            <w14:solidFill>
              <w14:schemeClr w14:val="tx1"/>
            </w14:solidFill>
          </w14:textFill>
        </w:rPr>
        <w:t>校本教材与规划教材申报</w:t>
      </w:r>
      <w:r>
        <w:rPr>
          <w:rFonts w:hint="eastAsia" w:ascii="仿宋" w:hAnsi="仿宋" w:eastAsia="仿宋" w:cs="Times New Roman"/>
          <w:b/>
          <w:bCs/>
          <w:color w:val="000000" w:themeColor="text1"/>
          <w:sz w:val="30"/>
          <w:szCs w:val="30"/>
          <w:lang w:eastAsia="zh-CN"/>
          <w14:textFill>
            <w14:solidFill>
              <w14:schemeClr w14:val="tx1"/>
            </w14:solidFill>
          </w14:textFill>
        </w:rPr>
        <w:t>。</w:t>
      </w:r>
      <w:r>
        <w:rPr>
          <w:rFonts w:hint="eastAsia" w:ascii="仿宋" w:hAnsi="仿宋" w:eastAsia="仿宋" w:cs="Times New Roman"/>
          <w:color w:val="000000" w:themeColor="text1"/>
          <w:sz w:val="30"/>
          <w:szCs w:val="30"/>
          <w14:textFill>
            <w14:solidFill>
              <w14:schemeClr w14:val="tx1"/>
            </w14:solidFill>
          </w14:textFill>
        </w:rPr>
        <w:t>结合学校 “墨斗文化” 特色和专业优势，</w:t>
      </w:r>
      <w:r>
        <w:rPr>
          <w:rFonts w:hint="eastAsia" w:ascii="仿宋" w:hAnsi="仿宋" w:eastAsia="仿宋" w:cs="Times New Roman"/>
          <w:color w:val="000000" w:themeColor="text1"/>
          <w:sz w:val="30"/>
          <w:szCs w:val="30"/>
          <w:lang w:val="en-US" w:eastAsia="zh-CN"/>
          <w14:textFill>
            <w14:solidFill>
              <w14:schemeClr w14:val="tx1"/>
            </w14:solidFill>
          </w14:textFill>
        </w:rPr>
        <w:t>积极</w:t>
      </w:r>
      <w:r>
        <w:rPr>
          <w:rFonts w:hint="eastAsia" w:ascii="仿宋" w:hAnsi="仿宋" w:eastAsia="仿宋" w:cs="Times New Roman"/>
          <w:color w:val="000000" w:themeColor="text1"/>
          <w:sz w:val="30"/>
          <w:szCs w:val="30"/>
          <w14:textFill>
            <w14:solidFill>
              <w14:schemeClr w14:val="tx1"/>
            </w14:solidFill>
          </w14:textFill>
        </w:rPr>
        <w:t>编写校本教材，同时，积极推动优质教材申报更高层级规划教材，2025 年《建筑 CAD》教材</w:t>
      </w:r>
      <w:r>
        <w:rPr>
          <w:rFonts w:hint="eastAsia" w:ascii="仿宋" w:hAnsi="仿宋" w:eastAsia="仿宋" w:cs="Times New Roman"/>
          <w:color w:val="000000" w:themeColor="text1"/>
          <w:sz w:val="30"/>
          <w:szCs w:val="30"/>
          <w:lang w:val="en-US" w:eastAsia="zh-CN"/>
          <w14:textFill>
            <w14:solidFill>
              <w14:schemeClr w14:val="tx1"/>
            </w14:solidFill>
          </w14:textFill>
        </w:rPr>
        <w:t>申报</w:t>
      </w:r>
      <w:r>
        <w:rPr>
          <w:rFonts w:hint="eastAsia" w:ascii="仿宋" w:hAnsi="仿宋" w:eastAsia="仿宋" w:cs="Times New Roman"/>
          <w:color w:val="000000" w:themeColor="text1"/>
          <w:sz w:val="30"/>
          <w:szCs w:val="30"/>
          <w14:textFill>
            <w14:solidFill>
              <w14:schemeClr w14:val="tx1"/>
            </w14:solidFill>
          </w14:textFill>
        </w:rPr>
        <w:t xml:space="preserve"> “十四五” 职业教育省级规划教材。</w:t>
      </w:r>
    </w:p>
    <w:p w14:paraId="156E2644">
      <w:pPr>
        <w:tabs>
          <w:tab w:val="left" w:pos="958"/>
          <w:tab w:val="left" w:pos="1078"/>
        </w:tabs>
        <w:spacing w:line="560" w:lineRule="exact"/>
        <w:ind w:firstLine="602" w:firstLineChars="200"/>
        <w:outlineLvl w:val="2"/>
        <w:rPr>
          <w:rFonts w:hint="eastAsia" w:ascii="仿宋" w:hAnsi="仿宋" w:eastAsia="仿宋" w:cs="Times New Roman"/>
          <w:b/>
          <w:bCs/>
          <w:color w:val="000000" w:themeColor="text1"/>
          <w:sz w:val="30"/>
          <w:szCs w:val="30"/>
          <w:lang w:val="en-US" w:eastAsia="zh-CN"/>
          <w14:textFill>
            <w14:solidFill>
              <w14:schemeClr w14:val="tx1"/>
            </w14:solidFill>
          </w14:textFill>
        </w:rPr>
      </w:pPr>
      <w:bookmarkStart w:id="54" w:name="_Toc29694"/>
      <w:r>
        <w:rPr>
          <w:rFonts w:hint="eastAsia" w:ascii="仿宋" w:hAnsi="仿宋" w:eastAsia="仿宋" w:cs="Times New Roman"/>
          <w:b/>
          <w:bCs/>
          <w:color w:val="000000" w:themeColor="text1"/>
          <w:sz w:val="30"/>
          <w:szCs w:val="30"/>
          <w:lang w:val="en-US" w:eastAsia="zh-CN"/>
          <w14:textFill>
            <w14:solidFill>
              <w14:schemeClr w14:val="tx1"/>
            </w14:solidFill>
          </w14:textFill>
        </w:rPr>
        <w:t>1.2.6赛事赋能</w:t>
      </w:r>
      <w:bookmarkEnd w:id="54"/>
    </w:p>
    <w:p w14:paraId="3AE92583">
      <w:pPr>
        <w:tabs>
          <w:tab w:val="left" w:pos="958"/>
          <w:tab w:val="left" w:pos="1078"/>
        </w:tabs>
        <w:spacing w:line="560" w:lineRule="exact"/>
        <w:ind w:firstLine="600" w:firstLineChars="200"/>
        <w:outlineLvl w:val="9"/>
        <w:rPr>
          <w:rFonts w:hint="eastAsia" w:ascii="仿宋" w:hAnsi="仿宋" w:eastAsia="仿宋" w:cs="仿宋"/>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auto"/>
          <w:sz w:val="30"/>
          <w:szCs w:val="30"/>
          <w:lang w:val="en-US" w:eastAsia="zh-CN"/>
        </w:rPr>
        <w:t>学生参加各级各类职业院校技能大赛获奖人数情况：省级一等奖3项6人次、省级二等奖2项5人次、省级三等奖4项9人次；市级一等奖8项17人次、市级二等奖9项17人次、市级三等奖6项12人次。</w:t>
      </w:r>
    </w:p>
    <w:p w14:paraId="135AB66E">
      <w:pPr>
        <w:pStyle w:val="39"/>
        <w:bidi w:val="0"/>
        <w:rPr>
          <w:rFonts w:hint="eastAsia"/>
          <w:lang w:val="en-US" w:eastAsia="zh-CN"/>
        </w:rPr>
      </w:pPr>
      <w:bookmarkStart w:id="55" w:name="_Toc26391"/>
      <w:r>
        <w:rPr>
          <w:rFonts w:hint="eastAsia"/>
          <w:lang w:val="en-US" w:eastAsia="zh-CN"/>
        </w:rPr>
        <w:t>表6  2024--2025学年学生技能大赛获奖情况一览表</w:t>
      </w:r>
      <w:bookmarkEnd w:id="55"/>
    </w:p>
    <w:tbl>
      <w:tblPr>
        <w:tblStyle w:val="20"/>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3"/>
        <w:gridCol w:w="3408"/>
        <w:gridCol w:w="3242"/>
      </w:tblGrid>
      <w:tr w14:paraId="7A296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blHeader/>
          <w:jc w:val="center"/>
        </w:trPr>
        <w:tc>
          <w:tcPr>
            <w:tcW w:w="1813" w:type="dxa"/>
            <w:noWrap w:val="0"/>
            <w:vAlign w:val="center"/>
          </w:tcPr>
          <w:p w14:paraId="6E67F08C">
            <w:pPr>
              <w:numPr>
                <w:ilvl w:val="0"/>
                <w:numId w:val="0"/>
              </w:numPr>
              <w:snapToGrid w:val="0"/>
              <w:ind w:left="0" w:leftChars="0" w:right="0" w:rightChars="0" w:firstLine="0" w:firstLineChars="0"/>
              <w:jc w:val="center"/>
              <w:outlineLvl w:val="9"/>
              <w:rPr>
                <w:rFonts w:hint="eastAsia" w:ascii="仿宋" w:hAnsi="仿宋" w:eastAsia="仿宋" w:cs="仿宋"/>
                <w:b/>
                <w:sz w:val="24"/>
                <w:szCs w:val="24"/>
                <w:vertAlign w:val="baseline"/>
                <w:lang w:val="en-US" w:eastAsia="zh-CN"/>
              </w:rPr>
            </w:pPr>
            <w:r>
              <w:rPr>
                <w:rFonts w:hint="eastAsia" w:ascii="仿宋" w:hAnsi="仿宋" w:eastAsia="仿宋" w:cs="仿宋"/>
                <w:b/>
                <w:sz w:val="24"/>
                <w:szCs w:val="24"/>
                <w:vertAlign w:val="baseline"/>
                <w:lang w:val="en-US" w:eastAsia="zh-CN"/>
              </w:rPr>
              <w:t>年份</w:t>
            </w:r>
          </w:p>
        </w:tc>
        <w:tc>
          <w:tcPr>
            <w:tcW w:w="3408" w:type="dxa"/>
            <w:noWrap w:val="0"/>
            <w:vAlign w:val="center"/>
          </w:tcPr>
          <w:p w14:paraId="43225C36">
            <w:pPr>
              <w:numPr>
                <w:ilvl w:val="0"/>
                <w:numId w:val="0"/>
              </w:numPr>
              <w:snapToGrid w:val="0"/>
              <w:ind w:left="0" w:leftChars="0" w:right="0" w:rightChars="0" w:firstLine="0" w:firstLineChars="0"/>
              <w:jc w:val="center"/>
              <w:outlineLvl w:val="9"/>
              <w:rPr>
                <w:rFonts w:hint="eastAsia" w:ascii="仿宋" w:hAnsi="仿宋" w:eastAsia="仿宋" w:cs="仿宋"/>
                <w:b/>
                <w:sz w:val="24"/>
                <w:szCs w:val="24"/>
                <w:vertAlign w:val="baseline"/>
                <w:lang w:val="en-US" w:eastAsia="zh-CN"/>
              </w:rPr>
            </w:pPr>
            <w:r>
              <w:rPr>
                <w:rFonts w:hint="eastAsia" w:ascii="仿宋" w:hAnsi="仿宋" w:eastAsia="仿宋" w:cs="仿宋"/>
                <w:b/>
                <w:sz w:val="24"/>
                <w:szCs w:val="24"/>
                <w:vertAlign w:val="baseline"/>
                <w:lang w:val="en-US" w:eastAsia="zh-CN"/>
              </w:rPr>
              <w:t>市赛</w:t>
            </w:r>
          </w:p>
        </w:tc>
        <w:tc>
          <w:tcPr>
            <w:tcW w:w="3242" w:type="dxa"/>
            <w:noWrap w:val="0"/>
            <w:vAlign w:val="center"/>
          </w:tcPr>
          <w:p w14:paraId="169AB2E0">
            <w:pPr>
              <w:numPr>
                <w:ilvl w:val="0"/>
                <w:numId w:val="0"/>
              </w:numPr>
              <w:snapToGrid w:val="0"/>
              <w:ind w:left="0" w:leftChars="0" w:right="0" w:rightChars="0" w:firstLine="0" w:firstLineChars="0"/>
              <w:jc w:val="center"/>
              <w:outlineLvl w:val="9"/>
              <w:rPr>
                <w:rFonts w:hint="eastAsia" w:ascii="仿宋" w:hAnsi="仿宋" w:eastAsia="仿宋" w:cs="仿宋"/>
                <w:b/>
                <w:sz w:val="24"/>
                <w:szCs w:val="24"/>
                <w:vertAlign w:val="baseline"/>
                <w:lang w:val="en-US" w:eastAsia="zh-CN"/>
              </w:rPr>
            </w:pPr>
            <w:r>
              <w:rPr>
                <w:rFonts w:hint="eastAsia" w:ascii="仿宋" w:hAnsi="仿宋" w:eastAsia="仿宋" w:cs="仿宋"/>
                <w:b/>
                <w:sz w:val="24"/>
                <w:szCs w:val="24"/>
                <w:vertAlign w:val="baseline"/>
                <w:lang w:val="en-US" w:eastAsia="zh-CN"/>
              </w:rPr>
              <w:t>省赛</w:t>
            </w:r>
          </w:p>
        </w:tc>
      </w:tr>
      <w:tr w14:paraId="4E918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2" w:hRule="atLeast"/>
          <w:jc w:val="center"/>
        </w:trPr>
        <w:tc>
          <w:tcPr>
            <w:tcW w:w="1813" w:type="dxa"/>
            <w:noWrap w:val="0"/>
            <w:vAlign w:val="center"/>
          </w:tcPr>
          <w:p w14:paraId="28C3B718">
            <w:pPr>
              <w:numPr>
                <w:ilvl w:val="0"/>
                <w:numId w:val="0"/>
              </w:numPr>
              <w:snapToGrid w:val="0"/>
              <w:ind w:left="0" w:leftChars="0" w:right="0" w:rightChars="0" w:firstLine="0" w:firstLineChars="0"/>
              <w:jc w:val="center"/>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2024-2025</w:t>
            </w:r>
          </w:p>
        </w:tc>
        <w:tc>
          <w:tcPr>
            <w:tcW w:w="3408" w:type="dxa"/>
            <w:noWrap w:val="0"/>
            <w:vAlign w:val="center"/>
          </w:tcPr>
          <w:p w14:paraId="2F2EACAF">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一等奖8项，17人次</w:t>
            </w:r>
          </w:p>
          <w:p w14:paraId="13BF9018">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二等奖9项，17人次</w:t>
            </w:r>
          </w:p>
          <w:p w14:paraId="139C3B06">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三等奖6项，12人次</w:t>
            </w:r>
          </w:p>
        </w:tc>
        <w:tc>
          <w:tcPr>
            <w:tcW w:w="3242" w:type="dxa"/>
            <w:noWrap w:val="0"/>
            <w:vAlign w:val="center"/>
          </w:tcPr>
          <w:p w14:paraId="509ABD03">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一等奖3项，6人次</w:t>
            </w:r>
          </w:p>
          <w:p w14:paraId="1D885E96">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二等奖2项，5人次</w:t>
            </w:r>
          </w:p>
          <w:p w14:paraId="11E0634F">
            <w:pPr>
              <w:numPr>
                <w:ilvl w:val="0"/>
                <w:numId w:val="0"/>
              </w:numPr>
              <w:snapToGrid w:val="0"/>
              <w:ind w:left="0" w:leftChars="0" w:right="0" w:rightChars="0" w:firstLine="0" w:firstLineChars="0"/>
              <w:jc w:val="left"/>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三等奖4项，9人次</w:t>
            </w:r>
          </w:p>
        </w:tc>
      </w:tr>
    </w:tbl>
    <w:p w14:paraId="4AC2DCF4">
      <w:pPr>
        <w:keepNext w:val="0"/>
        <w:keepLines w:val="0"/>
        <w:pageBreakBefore w:val="0"/>
        <w:widowControl w:val="0"/>
        <w:numPr>
          <w:ilvl w:val="0"/>
          <w:numId w:val="0"/>
        </w:numPr>
        <w:kinsoku w:val="0"/>
        <w:wordWrap w:val="0"/>
        <w:overflowPunct w:val="0"/>
        <w:topLinePunct w:val="0"/>
        <w:autoSpaceDE/>
        <w:autoSpaceDN/>
        <w:bidi w:val="0"/>
        <w:adjustRightInd/>
        <w:snapToGrid/>
        <w:spacing w:line="360" w:lineRule="auto"/>
        <w:textAlignment w:val="auto"/>
        <w:outlineLvl w:val="9"/>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8"/>
          <w:szCs w:val="28"/>
          <w:u w:val="none"/>
          <w:lang w:val="en-US" w:eastAsia="zh-CN" w:bidi="ar"/>
        </w:rPr>
        <w:drawing>
          <wp:inline distT="0" distB="0" distL="114300" distR="114300">
            <wp:extent cx="1664335" cy="1200785"/>
            <wp:effectExtent l="0" t="0" r="12065" b="3175"/>
            <wp:docPr id="20" name="图片 1" descr="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001"/>
                    <pic:cNvPicPr>
                      <a:picLocks noChangeAspect="1"/>
                    </pic:cNvPicPr>
                  </pic:nvPicPr>
                  <pic:blipFill>
                    <a:blip r:embed="rId26"/>
                    <a:stretch>
                      <a:fillRect/>
                    </a:stretch>
                  </pic:blipFill>
                  <pic:spPr>
                    <a:xfrm>
                      <a:off x="0" y="0"/>
                      <a:ext cx="1664335" cy="1200785"/>
                    </a:xfrm>
                    <a:prstGeom prst="rect">
                      <a:avLst/>
                    </a:prstGeom>
                    <a:noFill/>
                    <a:ln>
                      <a:noFill/>
                    </a:ln>
                  </pic:spPr>
                </pic:pic>
              </a:graphicData>
            </a:graphic>
          </wp:inline>
        </w:drawing>
      </w:r>
      <w:r>
        <w:rPr>
          <w:rFonts w:hint="eastAsia" w:ascii="宋体" w:hAnsi="宋体" w:eastAsia="宋体" w:cs="宋体"/>
          <w:i w:val="0"/>
          <w:iCs w:val="0"/>
          <w:color w:val="000000"/>
          <w:kern w:val="0"/>
          <w:sz w:val="28"/>
          <w:szCs w:val="28"/>
          <w:u w:val="none"/>
          <w:lang w:val="en-US" w:eastAsia="zh-CN" w:bidi="ar"/>
        </w:rPr>
        <w:drawing>
          <wp:inline distT="0" distB="0" distL="114300" distR="114300">
            <wp:extent cx="1682115" cy="1190625"/>
            <wp:effectExtent l="0" t="0" r="9525" b="13335"/>
            <wp:docPr id="24" name="图片 3" descr="00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descr="003 "/>
                    <pic:cNvPicPr>
                      <a:picLocks noChangeAspect="1"/>
                    </pic:cNvPicPr>
                  </pic:nvPicPr>
                  <pic:blipFill>
                    <a:blip r:embed="rId27"/>
                    <a:stretch>
                      <a:fillRect/>
                    </a:stretch>
                  </pic:blipFill>
                  <pic:spPr>
                    <a:xfrm>
                      <a:off x="0" y="0"/>
                      <a:ext cx="1682115" cy="1190625"/>
                    </a:xfrm>
                    <a:prstGeom prst="rect">
                      <a:avLst/>
                    </a:prstGeom>
                    <a:noFill/>
                    <a:ln>
                      <a:noFill/>
                    </a:ln>
                  </pic:spPr>
                </pic:pic>
              </a:graphicData>
            </a:graphic>
          </wp:inline>
        </w:drawing>
      </w:r>
      <w:r>
        <w:rPr>
          <w:rFonts w:hint="eastAsia" w:ascii="宋体" w:hAnsi="宋体" w:eastAsia="宋体" w:cs="宋体"/>
          <w:i w:val="0"/>
          <w:iCs w:val="0"/>
          <w:color w:val="000000"/>
          <w:kern w:val="0"/>
          <w:sz w:val="28"/>
          <w:szCs w:val="28"/>
          <w:u w:val="none"/>
          <w:lang w:val="en-US" w:eastAsia="zh-CN" w:bidi="ar"/>
        </w:rPr>
        <w:drawing>
          <wp:inline distT="0" distB="0" distL="114300" distR="114300">
            <wp:extent cx="1600200" cy="1203960"/>
            <wp:effectExtent l="0" t="0" r="0" b="0"/>
            <wp:docPr id="23" name="图片 2"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descr="002"/>
                    <pic:cNvPicPr>
                      <a:picLocks noChangeAspect="1"/>
                    </pic:cNvPicPr>
                  </pic:nvPicPr>
                  <pic:blipFill>
                    <a:blip r:embed="rId28"/>
                    <a:stretch>
                      <a:fillRect/>
                    </a:stretch>
                  </pic:blipFill>
                  <pic:spPr>
                    <a:xfrm>
                      <a:off x="0" y="0"/>
                      <a:ext cx="1600200" cy="1203960"/>
                    </a:xfrm>
                    <a:prstGeom prst="rect">
                      <a:avLst/>
                    </a:prstGeom>
                    <a:noFill/>
                    <a:ln>
                      <a:noFill/>
                    </a:ln>
                  </pic:spPr>
                </pic:pic>
              </a:graphicData>
            </a:graphic>
          </wp:inline>
        </w:drawing>
      </w:r>
    </w:p>
    <w:p w14:paraId="0490FD76">
      <w:pPr>
        <w:pStyle w:val="24"/>
        <w:bidi w:val="0"/>
        <w:rPr>
          <w:rFonts w:hint="eastAsia" w:ascii="仿宋_GB2312" w:hAnsi="仿宋_GB2312"/>
          <w:lang w:val="en-US" w:eastAsia="zh-CN"/>
        </w:rPr>
      </w:pPr>
      <w:bookmarkStart w:id="56" w:name="_Toc11801"/>
      <w:r>
        <w:rPr>
          <w:rFonts w:hint="eastAsia" w:ascii="仿宋_GB2312" w:hAnsi="仿宋_GB2312"/>
          <w:lang w:val="en-US" w:eastAsia="zh-CN"/>
        </w:rPr>
        <w:t>图19 一等奖（3个）：装配式建筑构件安装、建筑信息模型建模、水利工程制图与应用</w:t>
      </w:r>
      <w:bookmarkEnd w:id="56"/>
    </w:p>
    <w:p w14:paraId="204213D6">
      <w:pPr>
        <w:keepNext w:val="0"/>
        <w:keepLines w:val="0"/>
        <w:pageBreakBefore w:val="0"/>
        <w:widowControl w:val="0"/>
        <w:numPr>
          <w:ilvl w:val="0"/>
          <w:numId w:val="0"/>
        </w:numPr>
        <w:kinsoku w:val="0"/>
        <w:wordWrap w:val="0"/>
        <w:overflowPunct w:val="0"/>
        <w:topLinePunct w:val="0"/>
        <w:autoSpaceDE/>
        <w:autoSpaceDN/>
        <w:bidi w:val="0"/>
        <w:adjustRightInd/>
        <w:snapToGrid/>
        <w:spacing w:line="360" w:lineRule="auto"/>
        <w:textAlignment w:val="auto"/>
        <w:outlineLvl w:val="9"/>
        <w:rPr>
          <w:rFonts w:hint="eastAsia" w:ascii="宋体" w:hAnsi="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8"/>
          <w:szCs w:val="28"/>
          <w:u w:val="none"/>
          <w:lang w:val="en-US" w:eastAsia="zh-CN" w:bidi="ar"/>
        </w:rPr>
        <w:drawing>
          <wp:inline distT="0" distB="0" distL="114300" distR="114300">
            <wp:extent cx="2632710" cy="2018665"/>
            <wp:effectExtent l="0" t="0" r="15240" b="635"/>
            <wp:docPr id="22" name="图片 4" descr="00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descr="004 "/>
                    <pic:cNvPicPr>
                      <a:picLocks noChangeAspect="1"/>
                    </pic:cNvPicPr>
                  </pic:nvPicPr>
                  <pic:blipFill>
                    <a:blip r:embed="rId29"/>
                    <a:stretch>
                      <a:fillRect/>
                    </a:stretch>
                  </pic:blipFill>
                  <pic:spPr>
                    <a:xfrm>
                      <a:off x="0" y="0"/>
                      <a:ext cx="2632710" cy="2018665"/>
                    </a:xfrm>
                    <a:prstGeom prst="rect">
                      <a:avLst/>
                    </a:prstGeom>
                    <a:noFill/>
                    <a:ln>
                      <a:noFill/>
                    </a:ln>
                  </pic:spPr>
                </pic:pic>
              </a:graphicData>
            </a:graphic>
          </wp:inline>
        </w:drawing>
      </w:r>
      <w:r>
        <w:rPr>
          <w:rFonts w:hint="eastAsia" w:ascii="宋体" w:hAnsi="宋体" w:cs="宋体"/>
          <w:i w:val="0"/>
          <w:iCs w:val="0"/>
          <w:color w:val="000000"/>
          <w:kern w:val="0"/>
          <w:sz w:val="28"/>
          <w:szCs w:val="28"/>
          <w:u w:val="none"/>
          <w:lang w:val="en-US" w:eastAsia="zh-CN" w:bidi="ar"/>
        </w:rPr>
        <w:drawing>
          <wp:inline distT="0" distB="0" distL="114300" distR="114300">
            <wp:extent cx="2554605" cy="1989455"/>
            <wp:effectExtent l="0" t="0" r="17145" b="10795"/>
            <wp:docPr id="21" name="图片 5" descr="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 descr="005 "/>
                    <pic:cNvPicPr>
                      <a:picLocks noChangeAspect="1"/>
                    </pic:cNvPicPr>
                  </pic:nvPicPr>
                  <pic:blipFill>
                    <a:blip r:embed="rId30"/>
                    <a:stretch>
                      <a:fillRect/>
                    </a:stretch>
                  </pic:blipFill>
                  <pic:spPr>
                    <a:xfrm>
                      <a:off x="0" y="0"/>
                      <a:ext cx="2554605" cy="1989455"/>
                    </a:xfrm>
                    <a:prstGeom prst="rect">
                      <a:avLst/>
                    </a:prstGeom>
                    <a:noFill/>
                    <a:ln>
                      <a:noFill/>
                    </a:ln>
                  </pic:spPr>
                </pic:pic>
              </a:graphicData>
            </a:graphic>
          </wp:inline>
        </w:drawing>
      </w:r>
    </w:p>
    <w:p w14:paraId="10335012">
      <w:pPr>
        <w:pStyle w:val="24"/>
        <w:bidi w:val="0"/>
        <w:rPr>
          <w:rFonts w:hint="eastAsia" w:ascii="仿宋_GB2312" w:hAnsi="仿宋_GB2312"/>
          <w:lang w:val="en-US" w:eastAsia="zh-CN"/>
        </w:rPr>
      </w:pPr>
      <w:bookmarkStart w:id="57" w:name="_Toc2465"/>
      <w:r>
        <w:rPr>
          <w:rFonts w:hint="eastAsia" w:ascii="仿宋_GB2312" w:hAnsi="仿宋_GB2312"/>
          <w:lang w:val="en-US" w:eastAsia="zh-CN"/>
        </w:rPr>
        <w:t>图20 二等奖（2个）：工程测量、水利工程制图与应用</w:t>
      </w:r>
      <w:bookmarkEnd w:id="57"/>
    </w:p>
    <w:p w14:paraId="62879252">
      <w:pPr>
        <w:keepNext w:val="0"/>
        <w:keepLines w:val="0"/>
        <w:pageBreakBefore w:val="0"/>
        <w:widowControl w:val="0"/>
        <w:numPr>
          <w:ilvl w:val="0"/>
          <w:numId w:val="0"/>
        </w:numPr>
        <w:kinsoku w:val="0"/>
        <w:wordWrap w:val="0"/>
        <w:overflowPunct w:val="0"/>
        <w:topLinePunct w:val="0"/>
        <w:autoSpaceDE/>
        <w:autoSpaceDN/>
        <w:bidi w:val="0"/>
        <w:adjustRightInd/>
        <w:snapToGrid/>
        <w:spacing w:line="360" w:lineRule="auto"/>
        <w:textAlignment w:val="auto"/>
        <w:outlineLvl w:val="9"/>
        <w:rPr>
          <w:rFonts w:hint="default" w:ascii="宋体" w:hAnsi="宋体" w:eastAsia="宋体" w:cs="宋体"/>
          <w:i w:val="0"/>
          <w:iCs w:val="0"/>
          <w:color w:val="000000"/>
          <w:kern w:val="0"/>
          <w:sz w:val="28"/>
          <w:szCs w:val="28"/>
          <w:u w:val="none"/>
          <w:lang w:val="en-US" w:eastAsia="zh-CN" w:bidi="ar"/>
        </w:rPr>
      </w:pPr>
      <w:r>
        <w:rPr>
          <w:rFonts w:hint="default" w:ascii="宋体" w:hAnsi="宋体" w:eastAsia="宋体" w:cs="宋体"/>
          <w:i w:val="0"/>
          <w:iCs w:val="0"/>
          <w:color w:val="000000"/>
          <w:kern w:val="0"/>
          <w:sz w:val="28"/>
          <w:szCs w:val="28"/>
          <w:u w:val="none"/>
          <w:lang w:val="en-US" w:eastAsia="zh-CN" w:bidi="ar"/>
        </w:rPr>
        <w:drawing>
          <wp:inline distT="0" distB="0" distL="114300" distR="114300">
            <wp:extent cx="2617470" cy="1990725"/>
            <wp:effectExtent l="0" t="0" r="11430" b="9525"/>
            <wp:docPr id="25" name="图片 6" descr="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6" descr="006"/>
                    <pic:cNvPicPr>
                      <a:picLocks noChangeAspect="1"/>
                    </pic:cNvPicPr>
                  </pic:nvPicPr>
                  <pic:blipFill>
                    <a:blip r:embed="rId31"/>
                    <a:stretch>
                      <a:fillRect/>
                    </a:stretch>
                  </pic:blipFill>
                  <pic:spPr>
                    <a:xfrm>
                      <a:off x="0" y="0"/>
                      <a:ext cx="2617470" cy="1990725"/>
                    </a:xfrm>
                    <a:prstGeom prst="rect">
                      <a:avLst/>
                    </a:prstGeom>
                    <a:noFill/>
                    <a:ln>
                      <a:noFill/>
                    </a:ln>
                  </pic:spPr>
                </pic:pic>
              </a:graphicData>
            </a:graphic>
          </wp:inline>
        </w:drawing>
      </w:r>
      <w:r>
        <w:rPr>
          <w:rFonts w:hint="default" w:ascii="宋体" w:hAnsi="宋体" w:eastAsia="宋体" w:cs="宋体"/>
          <w:i w:val="0"/>
          <w:iCs w:val="0"/>
          <w:color w:val="000000"/>
          <w:kern w:val="0"/>
          <w:sz w:val="28"/>
          <w:szCs w:val="28"/>
          <w:u w:val="none"/>
          <w:lang w:val="en-US" w:eastAsia="zh-CN" w:bidi="ar"/>
        </w:rPr>
        <w:drawing>
          <wp:inline distT="0" distB="0" distL="114300" distR="114300">
            <wp:extent cx="2553335" cy="1971040"/>
            <wp:effectExtent l="0" t="0" r="18415" b="10160"/>
            <wp:docPr id="26" name="图片 7" descr="00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7" descr="007 "/>
                    <pic:cNvPicPr>
                      <a:picLocks noChangeAspect="1"/>
                    </pic:cNvPicPr>
                  </pic:nvPicPr>
                  <pic:blipFill>
                    <a:blip r:embed="rId32"/>
                    <a:stretch>
                      <a:fillRect/>
                    </a:stretch>
                  </pic:blipFill>
                  <pic:spPr>
                    <a:xfrm>
                      <a:off x="0" y="0"/>
                      <a:ext cx="2553335" cy="1971040"/>
                    </a:xfrm>
                    <a:prstGeom prst="rect">
                      <a:avLst/>
                    </a:prstGeom>
                    <a:noFill/>
                    <a:ln>
                      <a:noFill/>
                    </a:ln>
                  </pic:spPr>
                </pic:pic>
              </a:graphicData>
            </a:graphic>
          </wp:inline>
        </w:drawing>
      </w:r>
    </w:p>
    <w:p w14:paraId="4477D609">
      <w:pPr>
        <w:keepNext w:val="0"/>
        <w:keepLines w:val="0"/>
        <w:pageBreakBefore w:val="0"/>
        <w:widowControl w:val="0"/>
        <w:numPr>
          <w:ilvl w:val="0"/>
          <w:numId w:val="0"/>
        </w:numPr>
        <w:kinsoku w:val="0"/>
        <w:wordWrap w:val="0"/>
        <w:overflowPunct w:val="0"/>
        <w:topLinePunct w:val="0"/>
        <w:autoSpaceDE/>
        <w:autoSpaceDN/>
        <w:bidi w:val="0"/>
        <w:adjustRightInd/>
        <w:snapToGrid/>
        <w:spacing w:line="360" w:lineRule="auto"/>
        <w:textAlignment w:val="auto"/>
        <w:outlineLvl w:val="9"/>
        <w:rPr>
          <w:rFonts w:hint="default" w:ascii="宋体" w:hAnsi="宋体" w:eastAsia="宋体" w:cs="宋体"/>
          <w:i w:val="0"/>
          <w:iCs w:val="0"/>
          <w:color w:val="000000"/>
          <w:kern w:val="0"/>
          <w:sz w:val="28"/>
          <w:szCs w:val="28"/>
          <w:u w:val="none"/>
          <w:lang w:val="en-US" w:eastAsia="zh-CN" w:bidi="ar"/>
        </w:rPr>
      </w:pPr>
      <w:r>
        <w:rPr>
          <w:rFonts w:hint="default" w:ascii="宋体" w:hAnsi="宋体" w:eastAsia="宋体" w:cs="宋体"/>
          <w:i w:val="0"/>
          <w:iCs w:val="0"/>
          <w:color w:val="000000"/>
          <w:kern w:val="0"/>
          <w:sz w:val="28"/>
          <w:szCs w:val="28"/>
          <w:u w:val="none"/>
          <w:lang w:val="en-US" w:eastAsia="zh-CN" w:bidi="ar"/>
        </w:rPr>
        <w:drawing>
          <wp:inline distT="0" distB="0" distL="114300" distR="114300">
            <wp:extent cx="2666365" cy="1922145"/>
            <wp:effectExtent l="0" t="0" r="635" b="1905"/>
            <wp:docPr id="27" name="图片 8" descr="00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8" descr="008 "/>
                    <pic:cNvPicPr>
                      <a:picLocks noChangeAspect="1"/>
                    </pic:cNvPicPr>
                  </pic:nvPicPr>
                  <pic:blipFill>
                    <a:blip r:embed="rId33"/>
                    <a:stretch>
                      <a:fillRect/>
                    </a:stretch>
                  </pic:blipFill>
                  <pic:spPr>
                    <a:xfrm>
                      <a:off x="0" y="0"/>
                      <a:ext cx="2666365" cy="1922145"/>
                    </a:xfrm>
                    <a:prstGeom prst="rect">
                      <a:avLst/>
                    </a:prstGeom>
                    <a:noFill/>
                    <a:ln>
                      <a:noFill/>
                    </a:ln>
                  </pic:spPr>
                </pic:pic>
              </a:graphicData>
            </a:graphic>
          </wp:inline>
        </w:drawing>
      </w:r>
      <w:r>
        <w:rPr>
          <w:rFonts w:hint="default" w:ascii="宋体" w:hAnsi="宋体" w:eastAsia="宋体" w:cs="宋体"/>
          <w:i w:val="0"/>
          <w:iCs w:val="0"/>
          <w:color w:val="000000"/>
          <w:kern w:val="0"/>
          <w:sz w:val="28"/>
          <w:szCs w:val="28"/>
          <w:u w:val="none"/>
          <w:lang w:val="en-US" w:eastAsia="zh-CN" w:bidi="ar"/>
        </w:rPr>
        <w:drawing>
          <wp:inline distT="0" distB="0" distL="114300" distR="114300">
            <wp:extent cx="2523490" cy="1895475"/>
            <wp:effectExtent l="0" t="0" r="10160" b="9525"/>
            <wp:docPr id="28" name="图片 9" descr="00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9" descr="009 "/>
                    <pic:cNvPicPr>
                      <a:picLocks noChangeAspect="1"/>
                    </pic:cNvPicPr>
                  </pic:nvPicPr>
                  <pic:blipFill>
                    <a:blip r:embed="rId34"/>
                    <a:stretch>
                      <a:fillRect/>
                    </a:stretch>
                  </pic:blipFill>
                  <pic:spPr>
                    <a:xfrm>
                      <a:off x="0" y="0"/>
                      <a:ext cx="2523490" cy="1895475"/>
                    </a:xfrm>
                    <a:prstGeom prst="rect">
                      <a:avLst/>
                    </a:prstGeom>
                    <a:noFill/>
                    <a:ln>
                      <a:noFill/>
                    </a:ln>
                  </pic:spPr>
                </pic:pic>
              </a:graphicData>
            </a:graphic>
          </wp:inline>
        </w:drawing>
      </w:r>
    </w:p>
    <w:p w14:paraId="365FBAE8">
      <w:pPr>
        <w:pStyle w:val="24"/>
        <w:bidi w:val="0"/>
        <w:rPr>
          <w:rFonts w:hint="eastAsia" w:ascii="仿宋_GB2312" w:hAnsi="仿宋_GB2312"/>
          <w:lang w:val="en-US" w:eastAsia="zh-CN"/>
        </w:rPr>
      </w:pPr>
      <w:bookmarkStart w:id="58" w:name="_Toc1470"/>
      <w:r>
        <w:rPr>
          <w:rFonts w:hint="eastAsia" w:ascii="仿宋_GB2312" w:hAnsi="仿宋_GB2312"/>
          <w:lang w:val="en-US" w:eastAsia="zh-CN"/>
        </w:rPr>
        <w:t>图21 三等奖（4个）：园林微景观设计与制作、护理技能、康复技术、新能源汽车维修</w:t>
      </w:r>
      <w:bookmarkEnd w:id="58"/>
    </w:p>
    <w:p w14:paraId="1C3A1EB7">
      <w:pPr>
        <w:spacing w:line="580" w:lineRule="exact"/>
        <w:outlineLvl w:val="1"/>
        <w:rPr>
          <w:rFonts w:hint="eastAsia" w:ascii="仿宋_GB2312" w:hAnsi="Yu Mincho Light" w:eastAsia="仿宋_GB2312" w:cs="Yu Mincho Light"/>
          <w:b/>
          <w:bCs/>
          <w:sz w:val="32"/>
          <w:lang w:val="en-US" w:eastAsia="zh-CN"/>
        </w:rPr>
      </w:pPr>
    </w:p>
    <w:p w14:paraId="690994CD">
      <w:pPr>
        <w:spacing w:line="580" w:lineRule="exact"/>
        <w:outlineLvl w:val="1"/>
        <w:rPr>
          <w:rFonts w:hint="default" w:ascii="仿宋_GB2312" w:hAnsi="Yu Mincho Light" w:eastAsia="仿宋_GB2312" w:cs="Yu Mincho Light"/>
          <w:b/>
          <w:bCs/>
          <w:sz w:val="32"/>
          <w:lang w:val="en-US" w:eastAsia="zh-CN"/>
        </w:rPr>
      </w:pPr>
      <w:bookmarkStart w:id="59" w:name="_Toc8459"/>
      <w:r>
        <w:rPr>
          <w:rFonts w:hint="eastAsia" w:ascii="仿宋_GB2312" w:hAnsi="Yu Mincho Light" w:eastAsia="仿宋_GB2312" w:cs="Yu Mincho Light"/>
          <w:b/>
          <w:bCs/>
          <w:sz w:val="32"/>
          <w:lang w:val="en-US" w:eastAsia="zh-CN"/>
        </w:rPr>
        <w:t>1.3职业发展</w:t>
      </w:r>
      <w:bookmarkEnd w:id="59"/>
      <w:bookmarkStart w:id="193" w:name="_GoBack"/>
      <w:bookmarkEnd w:id="193"/>
    </w:p>
    <w:p w14:paraId="1DA36C49">
      <w:pPr>
        <w:tabs>
          <w:tab w:val="left" w:pos="958"/>
          <w:tab w:val="left" w:pos="1078"/>
        </w:tabs>
        <w:spacing w:line="560" w:lineRule="exact"/>
        <w:ind w:firstLine="602" w:firstLineChars="200"/>
        <w:outlineLvl w:val="2"/>
        <w:rPr>
          <w:rFonts w:hint="eastAsia" w:ascii="仿宋" w:hAnsi="仿宋" w:eastAsia="仿宋" w:cs="Times New Roman"/>
          <w:b/>
          <w:bCs/>
          <w:color w:val="000000" w:themeColor="text1"/>
          <w:sz w:val="30"/>
          <w:szCs w:val="30"/>
          <w:lang w:val="en-US" w:eastAsia="zh-CN"/>
          <w14:textFill>
            <w14:solidFill>
              <w14:schemeClr w14:val="tx1"/>
            </w14:solidFill>
          </w14:textFill>
        </w:rPr>
      </w:pPr>
      <w:bookmarkStart w:id="60" w:name="_Toc18323"/>
      <w:r>
        <w:rPr>
          <w:rFonts w:hint="eastAsia" w:ascii="仿宋" w:hAnsi="仿宋" w:eastAsia="仿宋" w:cs="Times New Roman"/>
          <w:b/>
          <w:bCs/>
          <w:color w:val="000000" w:themeColor="text1"/>
          <w:sz w:val="30"/>
          <w:szCs w:val="30"/>
          <w:lang w:val="en-US" w:eastAsia="zh-CN"/>
          <w14:textFill>
            <w14:solidFill>
              <w14:schemeClr w14:val="tx1"/>
            </w14:solidFill>
          </w14:textFill>
        </w:rPr>
        <w:t>1.3.1就业概况</w:t>
      </w:r>
      <w:bookmarkEnd w:id="60"/>
      <w:r>
        <w:rPr>
          <w:rFonts w:hint="eastAsia" w:ascii="仿宋" w:hAnsi="仿宋" w:eastAsia="仿宋" w:cs="Times New Roman"/>
          <w:b/>
          <w:bCs/>
          <w:color w:val="000000" w:themeColor="text1"/>
          <w:sz w:val="30"/>
          <w:szCs w:val="30"/>
          <w:lang w:val="en-US" w:eastAsia="zh-CN"/>
          <w14:textFill>
            <w14:solidFill>
              <w14:schemeClr w14:val="tx1"/>
            </w14:solidFill>
          </w14:textFill>
        </w:rPr>
        <w:t xml:space="preserve"> </w:t>
      </w:r>
    </w:p>
    <w:p w14:paraId="17D93D78">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根据官方的权威数据显示，上杭职专相关毕业生去向落实率表现优秀。县政府在《关于县政协十三届四次会议第642号提案办理情况的答复》中，明确肯定上杭职业中专学校作为县职业教育中心的主体校，应进一步发挥示范引领作用。同时，一些同类型职业院校公布的数据显示，其2024届毕业生去向落实率达到94.67%，2025年截至7月的整体就业率也稳定在94%以上。这些数据可以作为参考基准，表明学校在促就业方面成效显著。</w:t>
      </w:r>
    </w:p>
    <w:p w14:paraId="0E2CE832">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上杭职专毕业生的就业分布与本地产业结构和校企合作深度绑定，主要呈现以下特点：</w:t>
      </w:r>
    </w:p>
    <w:p w14:paraId="3C94AD16">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1. 就业产业分布：聚焦两大支柱，服务县域经济</w:t>
      </w:r>
    </w:p>
    <w:p w14:paraId="14D57199">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毕业生的主要流向与上杭县“中国建筑之乡”和“全国金铜产业生产加工基地”的产业定位高度契合。</w:t>
      </w:r>
    </w:p>
    <w:p w14:paraId="1C1DB9A3">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建筑产业：这是学校历史悠久、实力雄厚的王牌领域。学校建筑类专业是福建省重点建设专业，被誉为“闽西培养建筑人才的黄埔军校”。依托县内100多家建筑企业的庞大市场和“上杭县建筑人才培训中心”的平台，大量毕业生进入建筑行业，从事施工、测量、造价等工作，年培训量可达数千人次。</w:t>
      </w:r>
    </w:p>
    <w:p w14:paraId="23BBF94E">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金铜及新材料产业：为服务县域经济转型，学校重点建设了“金属压力加工”等专业和实训基地。通过县政府推动的“预就业”“二元制”等人才培养模式，与德尔科技、晶旭半导体、紫金锂元等多家本地重点企业建立了稳定的人才输送管道。特别是与县内新材料企业签订的“二元制”人才培养协议，有效保障了相关专业学生的就业。</w:t>
      </w:r>
    </w:p>
    <w:p w14:paraId="634F89F0">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2. 就业单位类型与地区分布</w:t>
      </w:r>
    </w:p>
    <w:p w14:paraId="1D6483C9">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单位类型：毕业生主要进入大型国有企业（如紫金矿业集团）、本地龙头民营企业、各类建筑公司，以及通过校企合作订单班进入的特定企业。</w:t>
      </w:r>
    </w:p>
    <w:p w14:paraId="71AA3DA8">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地区分布：就业地域以 “本县为主，辐射周边” 。本地就业是主流，这得益于县政府“促进居民就地就近就业”的政策引导和产业基础。同时，学校与厦门、深圳等地的大型企业也有合作，为部分毕业生提供了前往沿海发达城市发展的机会。</w:t>
      </w:r>
    </w:p>
    <w:p w14:paraId="3E65CB02">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学校就业工作的高效开展，主要依托以下几个方面的持续投入：</w:t>
      </w:r>
    </w:p>
    <w:p w14:paraId="65ADF96F">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举措一：深化政校企合作，创新培养模式</w:t>
      </w:r>
    </w:p>
    <w:p w14:paraId="3D370E57">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学校深度参与县政府搭建的政校企合作平台，是“预就业”等创新人才培养模式的核心执行方。通过与政府、企业建立三方信息互通机制，确保专业设置和人才培养紧贴产业需求。</w:t>
      </w:r>
    </w:p>
    <w:p w14:paraId="30E2F690">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举措二：动态优化专业设置，对接产业需求</w:t>
      </w:r>
    </w:p>
    <w:p w14:paraId="1713C781">
      <w:pPr>
        <w:tabs>
          <w:tab w:val="left" w:pos="958"/>
          <w:tab w:val="left" w:pos="1078"/>
        </w:tabs>
        <w:spacing w:line="560" w:lineRule="exact"/>
        <w:ind w:firstLine="600" w:firstLineChars="200"/>
        <w:outlineLvl w:val="9"/>
        <w:rPr>
          <w:rFonts w:hint="default"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 xml:space="preserve">学校专业设置并非一成不变，而是根据县域经济发展规划进行动态调整，及时开设如金属压力加工等新专业，确保学生所学为市场所需。 </w:t>
      </w:r>
    </w:p>
    <w:p w14:paraId="4B5B5AD1">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举措三：推行“双证制”与订单培养，提升就业竞争力</w:t>
      </w:r>
    </w:p>
    <w:p w14:paraId="37137A6A">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学校实行毕业证与职业技能资格证并重的“双证制”管理。同时，与龙氟化工等企业联办全日制校企合作班，与汽车维修企业协会联办专业班，开展订单式培养，实现“入学即入职、毕业即就业”。</w:t>
      </w:r>
    </w:p>
    <w:p w14:paraId="2A0BFC80">
      <w:pPr>
        <w:tabs>
          <w:tab w:val="left" w:pos="958"/>
          <w:tab w:val="left" w:pos="1078"/>
        </w:tabs>
        <w:spacing w:line="560" w:lineRule="exact"/>
        <w:ind w:firstLine="600" w:firstLineChars="200"/>
        <w:outlineLvl w:val="9"/>
        <w:rPr>
          <w:rFonts w:hint="eastAsia" w:ascii="仿宋" w:hAnsi="仿宋" w:eastAsia="仿宋" w:cs="Times New Roman"/>
          <w:b w:val="0"/>
          <w:bCs w:val="0"/>
          <w:color w:val="000000" w:themeColor="text1"/>
          <w:sz w:val="30"/>
          <w:szCs w:val="30"/>
          <w:lang w:val="en-US" w:eastAsia="zh-CN"/>
          <w14:textFill>
            <w14:solidFill>
              <w14:schemeClr w14:val="tx1"/>
            </w14:solidFill>
          </w14:textFill>
        </w:rPr>
      </w:pPr>
      <w:r>
        <w:rPr>
          <w:rFonts w:hint="eastAsia" w:ascii="仿宋" w:hAnsi="仿宋" w:eastAsia="仿宋" w:cs="Times New Roman"/>
          <w:b w:val="0"/>
          <w:bCs w:val="0"/>
          <w:color w:val="000000" w:themeColor="text1"/>
          <w:sz w:val="30"/>
          <w:szCs w:val="30"/>
          <w:lang w:val="en-US" w:eastAsia="zh-CN"/>
          <w14:textFill>
            <w14:solidFill>
              <w14:schemeClr w14:val="tx1"/>
            </w14:solidFill>
          </w14:textFill>
        </w:rPr>
        <w:t>上杭职业中专学校毕业生就业呈现出落实率高、本土服务特征明显、与支柱产业结合紧密的鲜明特点。这背后是学校主动融入地方经济发展、不断深化产教融合的结果。</w:t>
      </w:r>
    </w:p>
    <w:p w14:paraId="1E7779C5">
      <w:pPr>
        <w:tabs>
          <w:tab w:val="left" w:pos="958"/>
          <w:tab w:val="left" w:pos="1078"/>
        </w:tabs>
        <w:spacing w:line="560" w:lineRule="exact"/>
        <w:ind w:firstLine="602" w:firstLineChars="200"/>
        <w:outlineLvl w:val="2"/>
        <w:rPr>
          <w:rFonts w:hint="eastAsia" w:ascii="仿宋" w:hAnsi="仿宋" w:eastAsia="仿宋" w:cs="Times New Roman"/>
          <w:b/>
          <w:bCs/>
          <w:color w:val="000000" w:themeColor="text1"/>
          <w:sz w:val="30"/>
          <w:szCs w:val="30"/>
          <w:lang w:val="en-US" w:eastAsia="zh-CN"/>
          <w14:textFill>
            <w14:solidFill>
              <w14:schemeClr w14:val="tx1"/>
            </w14:solidFill>
          </w14:textFill>
        </w:rPr>
      </w:pPr>
      <w:bookmarkStart w:id="61" w:name="_Toc10784"/>
      <w:r>
        <w:rPr>
          <w:rFonts w:hint="eastAsia" w:ascii="仿宋" w:hAnsi="仿宋" w:eastAsia="仿宋" w:cs="Times New Roman"/>
          <w:b/>
          <w:bCs/>
          <w:color w:val="000000" w:themeColor="text1"/>
          <w:sz w:val="30"/>
          <w:szCs w:val="30"/>
          <w:lang w:val="en-US" w:eastAsia="zh-CN"/>
          <w14:textFill>
            <w14:solidFill>
              <w14:schemeClr w14:val="tx1"/>
            </w14:solidFill>
          </w14:textFill>
        </w:rPr>
        <w:t>1.3.2 升学概况</w:t>
      </w:r>
      <w:bookmarkEnd w:id="61"/>
    </w:p>
    <w:p w14:paraId="21ADCDC6">
      <w:pPr>
        <w:spacing w:line="580" w:lineRule="exact"/>
        <w:ind w:firstLine="600" w:firstLineChars="200"/>
        <w:outlineLvl w:val="9"/>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eastAsia="zh-CN"/>
        </w:rPr>
        <w:t>学生参加</w:t>
      </w:r>
      <w:r>
        <w:rPr>
          <w:rFonts w:hint="eastAsia" w:ascii="仿宋" w:hAnsi="仿宋" w:eastAsia="仿宋" w:cs="仿宋"/>
          <w:color w:val="auto"/>
          <w:sz w:val="30"/>
          <w:szCs w:val="30"/>
          <w:lang w:val="en-US" w:eastAsia="zh-CN"/>
        </w:rPr>
        <w:t>2025年6月福建省中职学生学业水平考试情况：2023级813人参加公共基础课合格率97.5%，参加专业基础课合格率97.9%。</w:t>
      </w:r>
    </w:p>
    <w:p w14:paraId="52F35473">
      <w:pPr>
        <w:spacing w:line="580" w:lineRule="exact"/>
        <w:ind w:firstLine="600" w:firstLineChars="200"/>
        <w:outlineLvl w:val="9"/>
        <w:rPr>
          <w:rFonts w:hint="eastAsia" w:ascii="华文楷体" w:hAnsi="华文楷体" w:eastAsia="华文楷体" w:cs="华文楷体"/>
          <w:b/>
          <w:bCs/>
          <w:color w:val="FF0000"/>
          <w:sz w:val="30"/>
          <w:szCs w:val="30"/>
          <w:lang w:val="en-US" w:eastAsia="zh-CN"/>
        </w:rPr>
      </w:pPr>
      <w:r>
        <w:rPr>
          <w:rFonts w:hint="eastAsia" w:ascii="仿宋" w:hAnsi="仿宋" w:eastAsia="仿宋" w:cs="仿宋"/>
          <w:color w:val="000000" w:themeColor="text1"/>
          <w:sz w:val="30"/>
          <w:szCs w:val="30"/>
          <w14:textFill>
            <w14:solidFill>
              <w14:schemeClr w14:val="tx1"/>
            </w14:solidFill>
          </w14:textFill>
        </w:rPr>
        <w:t>2022级毕业班学生参加2025年职教高考本科上线79人，本科上线人数及上线率均居龙岩市中职学校之首，专科上线100%。其中，土木工程类考生本科上线39人，梁舒萍同学699分居全省第2名，赖俊同学698分居全省第3名，卓华东同学693分居全省第7名；教育类考生本科上线18人，曾小静同学670分居全省第7名；医药卫生类考生本科上线13人，袁琳悦同学724分居全省第1名；计算机类考生赖赠芳同学713分居全省第2名。</w:t>
      </w:r>
    </w:p>
    <w:p w14:paraId="14A3CE06">
      <w:pPr>
        <w:tabs>
          <w:tab w:val="left" w:pos="958"/>
          <w:tab w:val="left" w:pos="1078"/>
        </w:tabs>
        <w:spacing w:line="560" w:lineRule="exact"/>
        <w:ind w:firstLine="600" w:firstLineChars="200"/>
        <w:outlineLvl w:val="9"/>
        <w:rPr>
          <w:rFonts w:hint="eastAsia" w:ascii="华文楷体" w:hAnsi="华文楷体" w:eastAsia="华文楷体" w:cs="华文楷体"/>
          <w:b/>
          <w:bCs/>
          <w:color w:val="FF0000"/>
          <w:sz w:val="30"/>
          <w:szCs w:val="30"/>
          <w:lang w:val="en-US" w:eastAsia="zh-CN"/>
        </w:rPr>
      </w:pPr>
      <w:r>
        <w:rPr>
          <w:rFonts w:hint="eastAsia" w:ascii="仿宋" w:hAnsi="仿宋" w:eastAsia="仿宋" w:cs="仿宋"/>
          <w:b w:val="0"/>
          <w:bCs w:val="0"/>
          <w:color w:val="auto"/>
          <w:sz w:val="30"/>
          <w:szCs w:val="30"/>
          <w:lang w:val="en-US" w:eastAsia="zh-CN"/>
        </w:rPr>
        <w:t>其中：学生赖燕华（23级建筑2班）</w:t>
      </w:r>
      <w:r>
        <w:rPr>
          <w:rFonts w:hint="eastAsia" w:ascii="仿宋" w:hAnsi="仿宋" w:eastAsia="仿宋" w:cs="仿宋"/>
          <w:b w:val="0"/>
          <w:bCs w:val="0"/>
          <w:color w:val="000000" w:themeColor="text1"/>
          <w:sz w:val="30"/>
          <w:szCs w:val="30"/>
          <w:lang w:val="en-US" w:eastAsia="zh-CN"/>
          <w14:textFill>
            <w14:solidFill>
              <w14:schemeClr w14:val="tx1"/>
            </w14:solidFill>
          </w14:textFill>
        </w:rPr>
        <w:t>、马宇菲（23级康复技术1班）、赖宁毅（23级机电1班）、赖维民（23级电子商务班）等4人获得2025年中职国家奖学金。</w:t>
      </w:r>
    </w:p>
    <w:p w14:paraId="67001B4B">
      <w:pPr>
        <w:tabs>
          <w:tab w:val="left" w:pos="958"/>
          <w:tab w:val="left" w:pos="1078"/>
        </w:tabs>
        <w:spacing w:line="560" w:lineRule="exact"/>
        <w:outlineLvl w:val="9"/>
        <w:rPr>
          <w:rFonts w:hint="eastAsia" w:ascii="黑体" w:hAnsi="黑体" w:eastAsia="黑体"/>
          <w:b/>
          <w:bCs/>
          <w:color w:val="000000"/>
          <w:sz w:val="32"/>
          <w:szCs w:val="32"/>
          <w:shd w:val="clear" w:color="auto" w:fill="FFFFFF"/>
          <w:lang w:val="en-US" w:eastAsia="zh-CN"/>
        </w:rPr>
      </w:pPr>
      <w:r>
        <w:rPr>
          <w:rFonts w:hint="eastAsia" w:ascii="仿宋" w:hAnsi="仿宋" w:eastAsia="仿宋" w:cs="仿宋"/>
          <w:b w:val="0"/>
          <w:bCs w:val="0"/>
          <w:color w:val="auto"/>
          <w:sz w:val="30"/>
          <w:szCs w:val="30"/>
          <w:lang w:val="en-US" w:eastAsia="zh-CN"/>
        </w:rPr>
        <w:t xml:space="preserve">    本年度703位学生参加由龙岩市人力社会保障局组织的各类考证全部合格并获得了证书。其中教育系幼儿教育学生51人获得“1+X”婴幼儿照护合格证、幼儿教育82人获得了育婴员等级认定证书，建筑系学生166人获得了砌筑工等级认定证书、71人获得了工程测量专项考核证书，新材料与智能制造系机电学生160人获得了电工等级认定证书、汽修学生40人获得了汽车维修工等级认定证书、分析检验技术40人活得了化学检验员等级认定证书，信息系学生93人获得了办公软件应用操作专项考核证书。</w:t>
      </w:r>
    </w:p>
    <w:p w14:paraId="5A04A30D">
      <w:pPr>
        <w:spacing w:line="580" w:lineRule="exact"/>
        <w:outlineLvl w:val="0"/>
        <w:rPr>
          <w:rFonts w:hint="eastAsia" w:ascii="黑体" w:hAnsi="黑体" w:eastAsia="黑体"/>
          <w:b/>
          <w:bCs/>
          <w:color w:val="000000"/>
          <w:sz w:val="32"/>
          <w:szCs w:val="32"/>
          <w:shd w:val="clear" w:color="auto" w:fill="FFFFFF"/>
        </w:rPr>
      </w:pPr>
      <w:bookmarkStart w:id="62" w:name="_Toc8823"/>
      <w:r>
        <w:rPr>
          <w:rFonts w:hint="eastAsia" w:ascii="黑体" w:hAnsi="黑体" w:eastAsia="黑体"/>
          <w:b/>
          <w:bCs/>
          <w:color w:val="000000"/>
          <w:sz w:val="32"/>
          <w:szCs w:val="32"/>
          <w:shd w:val="clear" w:color="auto" w:fill="FFFFFF"/>
          <w:lang w:val="en-US" w:eastAsia="zh-CN"/>
        </w:rPr>
        <w:t xml:space="preserve">2 </w:t>
      </w:r>
      <w:r>
        <w:rPr>
          <w:rFonts w:hint="eastAsia" w:ascii="黑体" w:hAnsi="黑体" w:eastAsia="黑体"/>
          <w:b/>
          <w:bCs/>
          <w:color w:val="000000"/>
          <w:sz w:val="32"/>
          <w:szCs w:val="32"/>
          <w:shd w:val="clear" w:color="auto" w:fill="FFFFFF"/>
        </w:rPr>
        <w:t>产教融合</w:t>
      </w:r>
      <w:bookmarkEnd w:id="62"/>
    </w:p>
    <w:p w14:paraId="391C6EF7">
      <w:pPr>
        <w:spacing w:line="580" w:lineRule="exact"/>
        <w:outlineLvl w:val="1"/>
        <w:rPr>
          <w:rFonts w:hint="default" w:ascii="黑体" w:hAnsi="黑体" w:eastAsia="黑体"/>
          <w:b/>
          <w:bCs/>
          <w:color w:val="000000"/>
          <w:sz w:val="32"/>
          <w:szCs w:val="32"/>
          <w:shd w:val="clear" w:color="auto" w:fill="FFFFFF"/>
          <w:lang w:val="en-US" w:eastAsia="zh-CN"/>
        </w:rPr>
      </w:pPr>
      <w:bookmarkStart w:id="63" w:name="_Toc12840"/>
      <w:r>
        <w:rPr>
          <w:rFonts w:hint="eastAsia" w:ascii="黑体" w:hAnsi="黑体" w:eastAsia="黑体"/>
          <w:b/>
          <w:bCs/>
          <w:color w:val="000000"/>
          <w:sz w:val="32"/>
          <w:szCs w:val="32"/>
          <w:shd w:val="clear" w:color="auto" w:fill="FFFFFF"/>
          <w:lang w:val="en-US" w:eastAsia="zh-CN"/>
        </w:rPr>
        <w:t>2.1合作共建</w:t>
      </w:r>
      <w:bookmarkEnd w:id="63"/>
    </w:p>
    <w:p w14:paraId="03198C2E">
      <w:pPr>
        <w:spacing w:line="580" w:lineRule="exact"/>
        <w:ind w:firstLine="643" w:firstLineChars="200"/>
        <w:outlineLvl w:val="2"/>
        <w:rPr>
          <w:rFonts w:hint="eastAsia" w:ascii="仿宋_GB2312" w:hAnsi="Yu Mincho Light" w:eastAsia="仿宋_GB2312" w:cs="Yu Mincho Light"/>
          <w:b/>
          <w:bCs/>
          <w:color w:val="FF0000"/>
          <w:sz w:val="28"/>
          <w:szCs w:val="28"/>
          <w:lang w:val="en-US" w:eastAsia="zh-CN"/>
        </w:rPr>
      </w:pPr>
      <w:bookmarkStart w:id="64" w:name="_Toc20200"/>
      <w:r>
        <w:rPr>
          <w:rFonts w:hint="eastAsia" w:ascii="仿宋_GB2312" w:hAnsi="Yu Mincho Light" w:eastAsia="仿宋_GB2312" w:cs="Yu Mincho Light"/>
          <w:b/>
          <w:bCs/>
          <w:sz w:val="32"/>
          <w:lang w:val="en-US" w:eastAsia="zh-CN"/>
        </w:rPr>
        <w:t>2.1.1 共建市域产教联合体建设</w:t>
      </w:r>
      <w:bookmarkEnd w:id="64"/>
    </w:p>
    <w:p w14:paraId="33230FC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近年来，随着产教融合的深入推进，学校积极参与市域产教联合体的建设，旨在通过资源共享、优势互补、协同创新等方式，提升人才培养质量，推动产业发展。2023年，学校成为龙岩市装备制造产教联合体的成员单位。</w:t>
      </w:r>
    </w:p>
    <w:p w14:paraId="2949CA9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龙岩市装备制造产教联合体于2023年10月11日正式成立，旨在推动形成同市场需求相适应、同产业结构相匹配的现代职业教育结构和区域布局，有效解决产业转型升级对技术技能人才的迫切需要，共同赋能龙岩经济社会高质量发展。在龙岩市装备制造产教联合体中，学校与龙岩高新区（经开区）、闽西职业技术学院、福建龙净环保股份有限公司等155家企事业单位共同合作，成为产教联合体第一批成员单位。通过深度合作，学校有效提升了装备制造领域的人才培养质量，为区域经济发展提供了有力的人才支撑。</w:t>
      </w:r>
    </w:p>
    <w:p w14:paraId="7956FDB2">
      <w:pPr>
        <w:pStyle w:val="24"/>
        <w:bidi w:val="0"/>
        <w:rPr>
          <w:rFonts w:hint="eastAsia"/>
          <w:lang w:val="en-US" w:eastAsia="zh-CN"/>
        </w:rPr>
      </w:pPr>
      <w:bookmarkStart w:id="65" w:name="_Toc20988"/>
      <w:r>
        <w:rPr>
          <w:rFonts w:hint="eastAsia"/>
          <w:lang w:val="en-US" w:eastAsia="zh-CN"/>
        </w:rPr>
        <w:drawing>
          <wp:anchor distT="0" distB="0" distL="114300" distR="114300" simplePos="0" relativeHeight="251660288" behindDoc="0" locked="0" layoutInCell="1" allowOverlap="1">
            <wp:simplePos x="0" y="0"/>
            <wp:positionH relativeFrom="column">
              <wp:posOffset>1151890</wp:posOffset>
            </wp:positionH>
            <wp:positionV relativeFrom="paragraph">
              <wp:posOffset>174625</wp:posOffset>
            </wp:positionV>
            <wp:extent cx="2856865" cy="3186430"/>
            <wp:effectExtent l="0" t="0" r="8255" b="13970"/>
            <wp:wrapTopAndBottom/>
            <wp:docPr id="52" name="图片 52" descr="23-1011龙岩市装备制造产教联合体成立大会方案-1(1) - 副本_20251205133435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23-1011龙岩市装备制造产教联合体成立大会方案-1(1) - 副本_20251205133435_01"/>
                    <pic:cNvPicPr>
                      <a:picLocks noChangeAspect="1"/>
                    </pic:cNvPicPr>
                  </pic:nvPicPr>
                  <pic:blipFill>
                    <a:blip r:embed="rId35"/>
                    <a:srcRect t="8957" b="8164"/>
                    <a:stretch>
                      <a:fillRect/>
                    </a:stretch>
                  </pic:blipFill>
                  <pic:spPr>
                    <a:xfrm>
                      <a:off x="0" y="0"/>
                      <a:ext cx="2856865" cy="3186430"/>
                    </a:xfrm>
                    <a:prstGeom prst="rect">
                      <a:avLst/>
                    </a:prstGeom>
                  </pic:spPr>
                </pic:pic>
              </a:graphicData>
            </a:graphic>
          </wp:anchor>
        </w:drawing>
      </w:r>
      <w:r>
        <w:rPr>
          <w:rFonts w:hint="eastAsia"/>
          <w:lang w:val="en-US" w:eastAsia="zh-CN"/>
        </w:rPr>
        <w:t>图22 龙岩市装备制造产教融合体成立大会</w:t>
      </w:r>
      <w:bookmarkEnd w:id="65"/>
    </w:p>
    <w:p w14:paraId="0D14ECA5">
      <w:pPr>
        <w:outlineLvl w:val="9"/>
      </w:pPr>
    </w:p>
    <w:p w14:paraId="28D43D9F">
      <w:pPr>
        <w:spacing w:line="580" w:lineRule="exact"/>
        <w:ind w:firstLine="643" w:firstLineChars="200"/>
        <w:outlineLvl w:val="2"/>
        <w:rPr>
          <w:rFonts w:hint="eastAsia" w:ascii="仿宋_GB2312" w:hAnsi="Yu Mincho Light" w:eastAsia="仿宋_GB2312" w:cs="Yu Mincho Light"/>
          <w:b/>
          <w:bCs/>
          <w:color w:val="FF0000"/>
          <w:sz w:val="28"/>
          <w:szCs w:val="28"/>
          <w:lang w:val="en-US" w:eastAsia="zh-CN"/>
        </w:rPr>
      </w:pPr>
      <w:bookmarkStart w:id="66" w:name="_Toc13153"/>
      <w:r>
        <w:rPr>
          <w:rFonts w:hint="eastAsia" w:ascii="仿宋" w:hAnsi="仿宋" w:eastAsia="仿宋" w:cs="仿宋"/>
          <w:b/>
          <w:bCs/>
          <w:sz w:val="32"/>
          <w:lang w:val="en-US" w:eastAsia="zh-CN"/>
        </w:rPr>
        <w:t>2.1.2 共建</w:t>
      </w:r>
      <w:r>
        <w:rPr>
          <w:rFonts w:hint="eastAsia" w:ascii="仿宋" w:hAnsi="仿宋" w:eastAsia="仿宋" w:cs="仿宋"/>
          <w:b/>
          <w:bCs/>
          <w:sz w:val="32"/>
        </w:rPr>
        <w:t>行业产教融合共同体</w:t>
      </w:r>
      <w:bookmarkEnd w:id="66"/>
    </w:p>
    <w:p w14:paraId="255EF1B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2024年，本校成为全国海丝跨境电商产教融合共同体第一届理事单位。</w:t>
      </w:r>
    </w:p>
    <w:p w14:paraId="0FEA9F4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全国海丝跨境电商产教融合共同体是在全国电子商务职业教育教学指导委员会的指导下，由厦门象屿产业发展集团有限公司、厦门大学、厦门城市职业学院等共同牵头发起成立的跨区域产教融合共同体，成员共88家单位。其目的在于通过“政校行企”的合作网络，建立健全资源与信息共享机制，共同提高跨境电商人才培养的质量。作为全国海丝跨境电商产教融合共同体的第一届理事单位，学校积极参与了共同体的各项活动。通过与其他成员单位的紧密合作，学校不仅拓宽了人才培养的视野和渠道，还提升了跨境电商领域的教学和科研水平。同时，学校也为企业提供了优质的人才培养服务，助力企业转型升级和行业创新发展。</w:t>
      </w:r>
    </w:p>
    <w:p w14:paraId="3B3ADA7D">
      <w:pPr>
        <w:spacing w:line="580" w:lineRule="exact"/>
        <w:ind w:firstLine="420" w:firstLineChars="200"/>
        <w:outlineLvl w:val="9"/>
        <w:rPr>
          <w:rFonts w:hint="eastAsia" w:ascii="仿宋_GB2312" w:hAnsi="Yu Mincho Light" w:eastAsia="仿宋_GB2312" w:cs="Yu Mincho Light"/>
          <w:b/>
          <w:bCs/>
          <w:sz w:val="32"/>
        </w:rPr>
      </w:pPr>
      <w:r>
        <w:rPr>
          <w:rFonts w:hint="eastAsia" w:eastAsia="宋体"/>
          <w:lang w:eastAsia="zh-CN"/>
        </w:rPr>
        <w:drawing>
          <wp:anchor distT="0" distB="0" distL="114300" distR="114300" simplePos="0" relativeHeight="251661312" behindDoc="0" locked="0" layoutInCell="1" allowOverlap="1">
            <wp:simplePos x="0" y="0"/>
            <wp:positionH relativeFrom="column">
              <wp:posOffset>106045</wp:posOffset>
            </wp:positionH>
            <wp:positionV relativeFrom="paragraph">
              <wp:posOffset>294005</wp:posOffset>
            </wp:positionV>
            <wp:extent cx="5261610" cy="3787775"/>
            <wp:effectExtent l="0" t="0" r="11430" b="6985"/>
            <wp:wrapNone/>
            <wp:docPr id="66" name="图片 66" descr="全国海丝跨境电商产教融合共同体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全国海丝跨境电商产教融合共同体4"/>
                    <pic:cNvPicPr>
                      <a:picLocks noChangeAspect="1"/>
                    </pic:cNvPicPr>
                  </pic:nvPicPr>
                  <pic:blipFill>
                    <a:blip r:embed="rId36"/>
                    <a:stretch>
                      <a:fillRect/>
                    </a:stretch>
                  </pic:blipFill>
                  <pic:spPr>
                    <a:xfrm>
                      <a:off x="0" y="0"/>
                      <a:ext cx="5261610" cy="3787775"/>
                    </a:xfrm>
                    <a:prstGeom prst="rect">
                      <a:avLst/>
                    </a:prstGeom>
                  </pic:spPr>
                </pic:pic>
              </a:graphicData>
            </a:graphic>
          </wp:anchor>
        </w:drawing>
      </w:r>
    </w:p>
    <w:p w14:paraId="4036C01F">
      <w:pPr>
        <w:spacing w:line="580" w:lineRule="exact"/>
        <w:ind w:firstLine="643" w:firstLineChars="200"/>
        <w:outlineLvl w:val="9"/>
        <w:rPr>
          <w:rFonts w:hint="eastAsia" w:ascii="仿宋_GB2312" w:hAnsi="Yu Mincho Light" w:eastAsia="仿宋_GB2312" w:cs="Yu Mincho Light"/>
          <w:b/>
          <w:bCs/>
          <w:sz w:val="32"/>
        </w:rPr>
      </w:pPr>
    </w:p>
    <w:p w14:paraId="5F78B4F7">
      <w:pPr>
        <w:spacing w:line="580" w:lineRule="exact"/>
        <w:ind w:firstLine="643" w:firstLineChars="200"/>
        <w:outlineLvl w:val="9"/>
        <w:rPr>
          <w:rFonts w:hint="eastAsia" w:ascii="仿宋_GB2312" w:hAnsi="Yu Mincho Light" w:eastAsia="仿宋_GB2312" w:cs="Yu Mincho Light"/>
          <w:b/>
          <w:bCs/>
          <w:sz w:val="32"/>
        </w:rPr>
      </w:pPr>
    </w:p>
    <w:p w14:paraId="17BD0035">
      <w:pPr>
        <w:spacing w:line="580" w:lineRule="exact"/>
        <w:ind w:firstLine="643" w:firstLineChars="200"/>
        <w:outlineLvl w:val="9"/>
        <w:rPr>
          <w:rFonts w:hint="eastAsia" w:ascii="仿宋_GB2312" w:hAnsi="Yu Mincho Light" w:eastAsia="仿宋_GB2312" w:cs="Yu Mincho Light"/>
          <w:b/>
          <w:bCs/>
          <w:sz w:val="32"/>
        </w:rPr>
      </w:pPr>
    </w:p>
    <w:p w14:paraId="069F14F2">
      <w:pPr>
        <w:spacing w:line="580" w:lineRule="exact"/>
        <w:ind w:firstLine="643" w:firstLineChars="200"/>
        <w:outlineLvl w:val="9"/>
        <w:rPr>
          <w:rFonts w:hint="eastAsia" w:ascii="仿宋_GB2312" w:hAnsi="Yu Mincho Light" w:eastAsia="仿宋_GB2312" w:cs="Yu Mincho Light"/>
          <w:b/>
          <w:bCs/>
          <w:sz w:val="32"/>
        </w:rPr>
      </w:pPr>
    </w:p>
    <w:p w14:paraId="71FF7BDD">
      <w:pPr>
        <w:spacing w:line="580" w:lineRule="exact"/>
        <w:ind w:firstLine="643" w:firstLineChars="200"/>
        <w:outlineLvl w:val="9"/>
        <w:rPr>
          <w:rFonts w:hint="eastAsia" w:ascii="仿宋_GB2312" w:hAnsi="Yu Mincho Light" w:eastAsia="仿宋_GB2312" w:cs="Yu Mincho Light"/>
          <w:b/>
          <w:bCs/>
          <w:sz w:val="32"/>
        </w:rPr>
      </w:pPr>
    </w:p>
    <w:p w14:paraId="7EE48D21">
      <w:pPr>
        <w:spacing w:line="580" w:lineRule="exact"/>
        <w:ind w:firstLine="643" w:firstLineChars="200"/>
        <w:outlineLvl w:val="9"/>
        <w:rPr>
          <w:rFonts w:hint="eastAsia" w:ascii="仿宋_GB2312" w:hAnsi="Yu Mincho Light" w:eastAsia="仿宋_GB2312" w:cs="Yu Mincho Light"/>
          <w:b/>
          <w:bCs/>
          <w:sz w:val="32"/>
        </w:rPr>
      </w:pPr>
    </w:p>
    <w:p w14:paraId="747D4C28">
      <w:pPr>
        <w:spacing w:line="580" w:lineRule="exact"/>
        <w:ind w:firstLine="643" w:firstLineChars="200"/>
        <w:outlineLvl w:val="9"/>
        <w:rPr>
          <w:rFonts w:hint="eastAsia" w:ascii="仿宋_GB2312" w:hAnsi="Yu Mincho Light" w:eastAsia="仿宋_GB2312" w:cs="Yu Mincho Light"/>
          <w:b/>
          <w:bCs/>
          <w:sz w:val="32"/>
        </w:rPr>
      </w:pPr>
    </w:p>
    <w:p w14:paraId="04920ACC">
      <w:pPr>
        <w:spacing w:line="580" w:lineRule="exact"/>
        <w:ind w:firstLine="643" w:firstLineChars="200"/>
        <w:outlineLvl w:val="9"/>
        <w:rPr>
          <w:rFonts w:hint="eastAsia" w:ascii="仿宋_GB2312" w:hAnsi="Yu Mincho Light" w:eastAsia="仿宋_GB2312" w:cs="Yu Mincho Light"/>
          <w:b/>
          <w:bCs/>
          <w:sz w:val="32"/>
        </w:rPr>
      </w:pPr>
    </w:p>
    <w:p w14:paraId="00DBCD20">
      <w:pPr>
        <w:spacing w:line="580" w:lineRule="exact"/>
        <w:outlineLvl w:val="9"/>
        <w:rPr>
          <w:rFonts w:hint="eastAsia" w:ascii="仿宋_GB2312" w:hAnsi="Yu Mincho Light" w:eastAsia="仿宋_GB2312" w:cs="Yu Mincho Light"/>
          <w:b/>
          <w:bCs/>
          <w:sz w:val="32"/>
        </w:rPr>
      </w:pPr>
    </w:p>
    <w:p w14:paraId="422099AC">
      <w:pPr>
        <w:pageBreakBefore w:val="0"/>
        <w:kinsoku/>
        <w:wordWrap/>
        <w:overflowPunct/>
        <w:topLinePunct w:val="0"/>
        <w:autoSpaceDE/>
        <w:autoSpaceDN/>
        <w:bidi w:val="0"/>
        <w:adjustRightInd/>
        <w:snapToGrid/>
        <w:spacing w:line="500" w:lineRule="exact"/>
        <w:ind w:firstLine="480" w:firstLineChars="200"/>
        <w:jc w:val="center"/>
        <w:outlineLvl w:val="9"/>
        <w:rPr>
          <w:rFonts w:hint="eastAsia" w:ascii="仿宋" w:hAnsi="仿宋" w:eastAsia="仿宋" w:cs="仿宋"/>
          <w:b w:val="0"/>
          <w:bCs w:val="0"/>
          <w:sz w:val="24"/>
          <w:szCs w:val="24"/>
          <w:lang w:val="en-US" w:eastAsia="zh-CN"/>
        </w:rPr>
      </w:pPr>
    </w:p>
    <w:p w14:paraId="122C3377">
      <w:pPr>
        <w:pStyle w:val="24"/>
        <w:bidi w:val="0"/>
        <w:jc w:val="both"/>
        <w:rPr>
          <w:rFonts w:hint="eastAsia" w:ascii="仿宋_GB2312" w:hAnsi="仿宋_GB2312"/>
          <w:lang w:val="en-US" w:eastAsia="zh-CN"/>
        </w:rPr>
      </w:pPr>
    </w:p>
    <w:p w14:paraId="35B3A43A">
      <w:pPr>
        <w:pStyle w:val="24"/>
        <w:bidi w:val="0"/>
        <w:rPr>
          <w:rFonts w:hint="eastAsia" w:ascii="仿宋" w:hAnsi="仿宋" w:eastAsia="仿宋" w:cs="仿宋"/>
          <w:b/>
          <w:bCs/>
          <w:sz w:val="30"/>
          <w:szCs w:val="30"/>
          <w:lang w:val="en-US" w:eastAsia="zh-CN"/>
        </w:rPr>
      </w:pPr>
      <w:bookmarkStart w:id="67" w:name="_Toc9585"/>
      <w:r>
        <w:rPr>
          <w:rFonts w:hint="eastAsia" w:ascii="仿宋_GB2312" w:hAnsi="仿宋_GB2312"/>
          <w:lang w:val="en-US" w:eastAsia="zh-CN"/>
        </w:rPr>
        <w:t>图23 学校成为全国海丝跨境电商产教融合共同体第一届理事单位</w:t>
      </w:r>
      <w:bookmarkEnd w:id="67"/>
    </w:p>
    <w:p w14:paraId="4D53F6ED">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68" w:name="_Toc15160"/>
    </w:p>
    <w:p w14:paraId="20F8DF8E">
      <w:pPr>
        <w:pageBreakBefore w:val="0"/>
        <w:kinsoku/>
        <w:wordWrap/>
        <w:overflowPunct/>
        <w:topLinePunct w:val="0"/>
        <w:autoSpaceDE/>
        <w:autoSpaceDN/>
        <w:bidi w:val="0"/>
        <w:adjustRightInd/>
        <w:snapToGrid/>
        <w:spacing w:line="500" w:lineRule="exact"/>
        <w:ind w:firstLine="602" w:firstLineChars="200"/>
        <w:outlineLvl w:val="2"/>
        <w:rPr>
          <w:rFonts w:hint="default" w:ascii="仿宋" w:hAnsi="仿宋" w:eastAsia="仿宋" w:cs="仿宋"/>
          <w:b/>
          <w:bCs/>
          <w:sz w:val="30"/>
          <w:szCs w:val="30"/>
          <w:lang w:val="en-US" w:eastAsia="zh-CN"/>
        </w:rPr>
      </w:pPr>
      <w:r>
        <w:rPr>
          <w:rFonts w:hint="eastAsia" w:ascii="仿宋" w:hAnsi="仿宋" w:eastAsia="仿宋" w:cs="仿宋"/>
          <w:b/>
          <w:bCs/>
          <w:sz w:val="30"/>
          <w:szCs w:val="30"/>
          <w:lang w:val="en-US" w:eastAsia="zh-CN"/>
        </w:rPr>
        <w:t xml:space="preserve">2.1.3 </w:t>
      </w:r>
      <w:r>
        <w:rPr>
          <w:rFonts w:hint="eastAsia" w:ascii="仿宋" w:hAnsi="仿宋" w:eastAsia="仿宋" w:cs="仿宋"/>
          <w:b/>
          <w:bCs/>
          <w:sz w:val="30"/>
          <w:szCs w:val="30"/>
          <w:lang w:eastAsia="zh-CN"/>
        </w:rPr>
        <w:t>共建生产实践基地</w:t>
      </w:r>
      <w:bookmarkEnd w:id="68"/>
    </w:p>
    <w:p w14:paraId="3DDDE2A9">
      <w:pPr>
        <w:ind w:firstLine="600" w:firstLineChars="200"/>
        <w:outlineLvl w:val="9"/>
        <w:rPr>
          <w:rFonts w:hint="eastAsia" w:ascii="仿宋" w:hAnsi="仿宋" w:eastAsia="仿宋"/>
          <w:sz w:val="30"/>
          <w:szCs w:val="30"/>
        </w:rPr>
      </w:pPr>
      <w:r>
        <w:rPr>
          <w:rFonts w:hint="eastAsia" w:ascii="仿宋" w:hAnsi="仿宋" w:eastAsia="仿宋"/>
          <w:sz w:val="30"/>
          <w:szCs w:val="30"/>
        </w:rPr>
        <w:t>为满足学校建筑工程施工专业群学生实训、技能测试和技能大赛需求，满足教学与生产的无缝对接，充分整合校企双方生产条件，共建共享工程材料检测生产性实训基地。上杭职专与“龙岩市四方工程检测有限公司”共建共享工程材料检测生产性实训基地。生产性实训基地的建设具有设备及规模的生产性、课程体系的生产性、教学过程的生产性、教学评价的生产性等特点，有助于提升专业教师教育教学能力，提高建筑工程施工专业群学生专业知识技能水平，满足区域工程材料检测相关人员培养需求，服务区域经济社会发展，增强 “建筑工程施工”高水平专业群实力，加快学校“高水平职业院校”建设发展。该基地于2023年获评福建省高水平产教融合实训基地。</w:t>
      </w:r>
    </w:p>
    <w:p w14:paraId="38586240">
      <w:pPr>
        <w:outlineLvl w:val="9"/>
        <w:rPr>
          <w:rFonts w:ascii="仿宋" w:hAnsi="仿宋" w:eastAsia="仿宋"/>
          <w:sz w:val="28"/>
          <w:szCs w:val="28"/>
        </w:rPr>
      </w:pPr>
      <w:r>
        <w:rPr>
          <w:rFonts w:ascii="仿宋" w:hAnsi="仿宋" w:eastAsia="仿宋"/>
          <w:sz w:val="28"/>
          <w:szCs w:val="28"/>
        </w:rPr>
        <w:drawing>
          <wp:inline distT="0" distB="0" distL="0" distR="0">
            <wp:extent cx="5274310" cy="3308985"/>
            <wp:effectExtent l="0" t="0" r="13970" b="13335"/>
            <wp:docPr id="9528353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835315" name="图片 1"/>
                    <pic:cNvPicPr>
                      <a:picLocks noChangeAspect="1" noChangeArrowheads="1"/>
                    </pic:cNvPicPr>
                  </pic:nvPicPr>
                  <pic:blipFill>
                    <a:blip r:embed="rId37" cstate="print">
                      <a:extLst>
                        <a:ext uri="{28A0092B-C50C-407E-A947-70E740481C1C}">
                          <a14:useLocalDpi xmlns:a14="http://schemas.microsoft.com/office/drawing/2010/main" val="0"/>
                        </a:ext>
                      </a:extLst>
                    </a:blip>
                    <a:srcRect t="15730" b="14767"/>
                    <a:stretch>
                      <a:fillRect/>
                    </a:stretch>
                  </pic:blipFill>
                  <pic:spPr>
                    <a:xfrm>
                      <a:off x="0" y="0"/>
                      <a:ext cx="5274310" cy="3308985"/>
                    </a:xfrm>
                    <a:prstGeom prst="rect">
                      <a:avLst/>
                    </a:prstGeom>
                    <a:noFill/>
                    <a:ln>
                      <a:noFill/>
                    </a:ln>
                  </pic:spPr>
                </pic:pic>
              </a:graphicData>
            </a:graphic>
          </wp:inline>
        </w:drawing>
      </w:r>
    </w:p>
    <w:p w14:paraId="37BDFCAD">
      <w:pPr>
        <w:ind w:firstLine="960" w:firstLineChars="400"/>
        <w:jc w:val="center"/>
        <w:outlineLvl w:val="9"/>
        <w:rPr>
          <w:rFonts w:hint="eastAsia" w:ascii="仿宋" w:hAnsi="仿宋" w:eastAsia="仿宋" w:cs="仿宋"/>
          <w:b w:val="0"/>
          <w:bCs w:val="0"/>
          <w:sz w:val="24"/>
          <w:szCs w:val="24"/>
          <w:lang w:val="en-US" w:eastAsia="zh-CN"/>
        </w:rPr>
      </w:pPr>
    </w:p>
    <w:p w14:paraId="132CED4D">
      <w:pPr>
        <w:ind w:firstLine="960" w:firstLineChars="400"/>
        <w:jc w:val="center"/>
        <w:outlineLvl w:val="9"/>
        <w:rPr>
          <w:rFonts w:hint="eastAsia" w:ascii="仿宋" w:hAnsi="仿宋" w:eastAsia="仿宋" w:cs="仿宋"/>
          <w:b w:val="0"/>
          <w:bCs w:val="0"/>
          <w:sz w:val="24"/>
          <w:szCs w:val="24"/>
          <w:lang w:val="en-US" w:eastAsia="zh-CN"/>
        </w:rPr>
      </w:pPr>
    </w:p>
    <w:p w14:paraId="08501614">
      <w:pPr>
        <w:pStyle w:val="24"/>
        <w:bidi w:val="0"/>
        <w:rPr>
          <w:rFonts w:hint="default" w:ascii="仿宋_GB2312" w:hAnsi="仿宋_GB2312"/>
          <w:lang w:val="en-US" w:eastAsia="zh-CN"/>
        </w:rPr>
      </w:pPr>
      <w:bookmarkStart w:id="69" w:name="_Toc21684"/>
      <w:r>
        <w:rPr>
          <w:rFonts w:hint="eastAsia" w:ascii="仿宋_GB2312" w:hAnsi="仿宋_GB2312"/>
          <w:lang w:val="en-US" w:eastAsia="zh-CN"/>
        </w:rPr>
        <w:t>图24 校企共建“产业学院”</w:t>
      </w:r>
      <w:bookmarkEnd w:id="69"/>
    </w:p>
    <w:p w14:paraId="6CAD6BFA">
      <w:pPr>
        <w:jc w:val="center"/>
        <w:outlineLvl w:val="9"/>
        <w:rPr>
          <w:rFonts w:hint="eastAsia" w:ascii="仿宋" w:hAnsi="仿宋" w:eastAsia="仿宋"/>
          <w:sz w:val="28"/>
          <w:szCs w:val="28"/>
        </w:rPr>
      </w:pPr>
      <w:r>
        <w:t xml:space="preserve"> </w:t>
      </w:r>
      <w:r>
        <w:drawing>
          <wp:inline distT="0" distB="0" distL="0" distR="0">
            <wp:extent cx="5274310" cy="2974975"/>
            <wp:effectExtent l="0" t="0" r="2540" b="15875"/>
            <wp:docPr id="14853097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309749" name="图片 1"/>
                    <pic:cNvPicPr>
                      <a:picLocks noChangeAspect="1"/>
                    </pic:cNvPicPr>
                  </pic:nvPicPr>
                  <pic:blipFill>
                    <a:blip r:embed="rId38"/>
                    <a:stretch>
                      <a:fillRect/>
                    </a:stretch>
                  </pic:blipFill>
                  <pic:spPr>
                    <a:xfrm>
                      <a:off x="0" y="0"/>
                      <a:ext cx="5274310" cy="2974975"/>
                    </a:xfrm>
                    <a:prstGeom prst="rect">
                      <a:avLst/>
                    </a:prstGeom>
                  </pic:spPr>
                </pic:pic>
              </a:graphicData>
            </a:graphic>
          </wp:inline>
        </w:drawing>
      </w:r>
    </w:p>
    <w:p w14:paraId="14CD96BE">
      <w:pPr>
        <w:ind w:left="964" w:hanging="630" w:hangingChars="300"/>
        <w:jc w:val="both"/>
        <w:outlineLvl w:val="9"/>
        <w:rPr>
          <w:rFonts w:hint="eastAsia"/>
        </w:rPr>
      </w:pPr>
      <w:r>
        <w:rPr>
          <w:rFonts w:hint="eastAsia"/>
        </w:rPr>
        <w:drawing>
          <wp:inline distT="0" distB="0" distL="0" distR="0">
            <wp:extent cx="2413000" cy="3348355"/>
            <wp:effectExtent l="0" t="0" r="6350" b="4445"/>
            <wp:docPr id="10360028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002810" name="图片 1"/>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419458" cy="3348355"/>
                    </a:xfrm>
                    <a:prstGeom prst="rect">
                      <a:avLst/>
                    </a:prstGeom>
                  </pic:spPr>
                </pic:pic>
              </a:graphicData>
            </a:graphic>
          </wp:inline>
        </w:drawing>
      </w:r>
      <w:r>
        <w:rPr>
          <w:rFonts w:hint="eastAsia"/>
        </w:rPr>
        <w:drawing>
          <wp:inline distT="0" distB="0" distL="0" distR="0">
            <wp:extent cx="2298700" cy="3285490"/>
            <wp:effectExtent l="0" t="0" r="6350" b="10160"/>
            <wp:docPr id="180241796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417965" name="图片 2"/>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298700" cy="3285490"/>
                    </a:xfrm>
                    <a:prstGeom prst="rect">
                      <a:avLst/>
                    </a:prstGeom>
                  </pic:spPr>
                </pic:pic>
              </a:graphicData>
            </a:graphic>
          </wp:inline>
        </w:drawing>
      </w:r>
    </w:p>
    <w:p w14:paraId="23C88819">
      <w:pPr>
        <w:pStyle w:val="24"/>
        <w:bidi w:val="0"/>
        <w:rPr>
          <w:rFonts w:hint="default" w:ascii="仿宋_GB2312" w:hAnsi="仿宋_GB2312"/>
          <w:lang w:val="en-US" w:eastAsia="zh-CN"/>
        </w:rPr>
      </w:pPr>
      <w:bookmarkStart w:id="70" w:name="_Toc4976"/>
      <w:r>
        <w:rPr>
          <w:rFonts w:hint="eastAsia" w:ascii="仿宋_GB2312" w:hAnsi="仿宋_GB2312"/>
          <w:lang w:val="en-US" w:eastAsia="zh-CN"/>
        </w:rPr>
        <w:t>图25  2023年获评福建省高水平产教融合实训基地</w:t>
      </w:r>
      <w:bookmarkEnd w:id="70"/>
    </w:p>
    <w:p w14:paraId="0802BFF0">
      <w:pPr>
        <w:ind w:firstLine="602" w:firstLineChars="200"/>
        <w:outlineLvl w:val="9"/>
        <w:rPr>
          <w:rFonts w:hint="eastAsia" w:ascii="仿宋" w:hAnsi="仿宋" w:eastAsia="仿宋"/>
          <w:sz w:val="30"/>
          <w:szCs w:val="30"/>
        </w:rPr>
      </w:pPr>
      <w:r>
        <w:rPr>
          <w:rFonts w:hint="eastAsia" w:ascii="仿宋" w:hAnsi="仿宋" w:eastAsia="仿宋" w:cs="仿宋"/>
          <w:b/>
          <w:bCs/>
          <w:sz w:val="30"/>
          <w:szCs w:val="30"/>
        </w:rPr>
        <w:t>引入“上杭县兴杭汽车维修站”</w:t>
      </w:r>
      <w:r>
        <w:rPr>
          <w:rFonts w:hint="eastAsia" w:ascii="仿宋" w:hAnsi="仿宋" w:eastAsia="仿宋" w:cs="仿宋"/>
          <w:b/>
          <w:bCs/>
          <w:sz w:val="30"/>
          <w:szCs w:val="30"/>
          <w:lang w:eastAsia="zh-CN"/>
        </w:rPr>
        <w:t>。</w:t>
      </w:r>
      <w:r>
        <w:rPr>
          <w:rFonts w:hint="eastAsia" w:ascii="仿宋" w:hAnsi="仿宋" w:eastAsia="仿宋" w:cs="仿宋_GB2312"/>
          <w:sz w:val="30"/>
          <w:szCs w:val="30"/>
        </w:rPr>
        <w:t>为满足当地汽车运输企业对较高水平专业人才的需要，学校及时引进“</w:t>
      </w:r>
      <w:r>
        <w:rPr>
          <w:rFonts w:hint="eastAsia" w:ascii="仿宋" w:hAnsi="仿宋" w:eastAsia="仿宋"/>
          <w:sz w:val="30"/>
          <w:szCs w:val="30"/>
        </w:rPr>
        <w:t>上杭县兴杭汽车维修站</w:t>
      </w:r>
      <w:r>
        <w:rPr>
          <w:rFonts w:hint="eastAsia" w:ascii="仿宋" w:hAnsi="仿宋" w:eastAsia="仿宋" w:cs="仿宋_GB2312"/>
          <w:sz w:val="30"/>
          <w:szCs w:val="30"/>
        </w:rPr>
        <w:t>”，与学校联合建设汽车维修专业实习场地，接纳学校汽修专业学生实习实训，真正做到“校中厂”的办学新模式，</w:t>
      </w:r>
      <w:r>
        <w:rPr>
          <w:rFonts w:hint="eastAsia" w:ascii="仿宋" w:hAnsi="仿宋" w:eastAsia="仿宋"/>
          <w:sz w:val="30"/>
          <w:szCs w:val="30"/>
        </w:rPr>
        <w:t>满足了学校机电汽修专业学生实训、技能测试和技能大赛需求，助力于提升专业教师教育教学能力，提高机电汽修专业学生专业知识技能水平，满足区域机电汽修类人才培养需求，服务区域经济社会发展。</w:t>
      </w:r>
    </w:p>
    <w:p w14:paraId="16183736">
      <w:pPr>
        <w:outlineLvl w:val="9"/>
        <w:rPr>
          <w:rFonts w:hint="eastAsia" w:ascii="仿宋" w:hAnsi="仿宋" w:eastAsia="仿宋"/>
          <w:sz w:val="28"/>
          <w:szCs w:val="28"/>
        </w:rPr>
      </w:pPr>
      <w:r>
        <w:rPr>
          <w:rFonts w:hint="eastAsia" w:ascii="仿宋" w:hAnsi="仿宋" w:eastAsia="仿宋"/>
          <w:sz w:val="28"/>
          <w:szCs w:val="28"/>
        </w:rPr>
        <w:drawing>
          <wp:inline distT="0" distB="0" distL="114300" distR="114300">
            <wp:extent cx="5265420" cy="2960370"/>
            <wp:effectExtent l="0" t="0" r="11430" b="11430"/>
            <wp:docPr id="74" name="图片 74" descr="b36e3f163862e00e7f175503dd94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b36e3f163862e00e7f175503dd94e24"/>
                    <pic:cNvPicPr>
                      <a:picLocks noChangeAspect="1"/>
                    </pic:cNvPicPr>
                  </pic:nvPicPr>
                  <pic:blipFill>
                    <a:blip r:embed="rId41"/>
                    <a:stretch>
                      <a:fillRect/>
                    </a:stretch>
                  </pic:blipFill>
                  <pic:spPr>
                    <a:xfrm>
                      <a:off x="0" y="0"/>
                      <a:ext cx="5265420" cy="2960370"/>
                    </a:xfrm>
                    <a:prstGeom prst="rect">
                      <a:avLst/>
                    </a:prstGeom>
                  </pic:spPr>
                </pic:pic>
              </a:graphicData>
            </a:graphic>
          </wp:inline>
        </w:drawing>
      </w:r>
    </w:p>
    <w:p w14:paraId="3113483E">
      <w:pPr>
        <w:outlineLvl w:val="9"/>
        <w:rPr>
          <w:rFonts w:hint="eastAsia" w:ascii="仿宋" w:hAnsi="仿宋" w:eastAsia="仿宋"/>
          <w:sz w:val="28"/>
          <w:szCs w:val="28"/>
        </w:rPr>
      </w:pPr>
      <w:r>
        <w:rPr>
          <w:rFonts w:hint="eastAsia" w:ascii="仿宋_GB2312" w:hAnsi="仿宋_GB2312" w:eastAsia="仿宋_GB2312" w:cs="仿宋_GB2312"/>
          <w:sz w:val="28"/>
          <w:szCs w:val="28"/>
        </w:rPr>
        <w:drawing>
          <wp:anchor distT="0" distB="0" distL="114300" distR="114300" simplePos="0" relativeHeight="251662336" behindDoc="0" locked="0" layoutInCell="1" allowOverlap="1">
            <wp:simplePos x="0" y="0"/>
            <wp:positionH relativeFrom="column">
              <wp:posOffset>2506345</wp:posOffset>
            </wp:positionH>
            <wp:positionV relativeFrom="paragraph">
              <wp:posOffset>72390</wp:posOffset>
            </wp:positionV>
            <wp:extent cx="2853055" cy="2645410"/>
            <wp:effectExtent l="0" t="0" r="4445" b="2540"/>
            <wp:wrapSquare wrapText="bothSides"/>
            <wp:docPr id="7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3"/>
                    <pic:cNvPicPr>
                      <a:picLocks noChangeAspect="1"/>
                    </pic:cNvPicPr>
                  </pic:nvPicPr>
                  <pic:blipFill>
                    <a:blip r:embed="rId42"/>
                    <a:stretch>
                      <a:fillRect/>
                    </a:stretch>
                  </pic:blipFill>
                  <pic:spPr>
                    <a:xfrm>
                      <a:off x="0" y="0"/>
                      <a:ext cx="2853055" cy="2645410"/>
                    </a:xfrm>
                    <a:prstGeom prst="rect">
                      <a:avLst/>
                    </a:prstGeom>
                    <a:noFill/>
                    <a:ln>
                      <a:noFill/>
                    </a:ln>
                  </pic:spPr>
                </pic:pic>
              </a:graphicData>
            </a:graphic>
          </wp:anchor>
        </w:drawing>
      </w:r>
      <w:r>
        <w:rPr>
          <w:rFonts w:hint="eastAsia" w:ascii="仿宋" w:hAnsi="仿宋" w:eastAsia="仿宋"/>
          <w:sz w:val="28"/>
          <w:szCs w:val="28"/>
        </w:rPr>
        <w:drawing>
          <wp:inline distT="0" distB="0" distL="114300" distR="114300">
            <wp:extent cx="2355850" cy="2656205"/>
            <wp:effectExtent l="0" t="0" r="6350" b="10795"/>
            <wp:docPr id="1764994950" name="图片 1764994950" descr="7a9779e5e2cea8e284dbab27805d5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994950" name="图片 1764994950" descr="7a9779e5e2cea8e284dbab27805d54a"/>
                    <pic:cNvPicPr>
                      <a:picLocks noChangeAspect="1"/>
                    </pic:cNvPicPr>
                  </pic:nvPicPr>
                  <pic:blipFill>
                    <a:blip r:embed="rId43"/>
                    <a:srcRect t="9470" b="33955"/>
                    <a:stretch>
                      <a:fillRect/>
                    </a:stretch>
                  </pic:blipFill>
                  <pic:spPr>
                    <a:xfrm>
                      <a:off x="0" y="0"/>
                      <a:ext cx="2355850" cy="2656205"/>
                    </a:xfrm>
                    <a:prstGeom prst="rect">
                      <a:avLst/>
                    </a:prstGeom>
                  </pic:spPr>
                </pic:pic>
              </a:graphicData>
            </a:graphic>
          </wp:inline>
        </w:drawing>
      </w:r>
    </w:p>
    <w:p w14:paraId="4952FDA1">
      <w:pPr>
        <w:pStyle w:val="24"/>
        <w:bidi w:val="0"/>
        <w:rPr>
          <w:rFonts w:hint="eastAsia" w:ascii="仿宋_GB2312" w:hAnsi="仿宋_GB2312"/>
          <w:lang w:val="en-US" w:eastAsia="zh-CN"/>
        </w:rPr>
      </w:pPr>
      <w:bookmarkStart w:id="71" w:name="_Toc21854"/>
      <w:r>
        <w:rPr>
          <w:rFonts w:hint="eastAsia" w:ascii="仿宋_GB2312" w:hAnsi="仿宋_GB2312"/>
          <w:lang w:val="en-US" w:eastAsia="zh-CN"/>
        </w:rPr>
        <w:t>图26 上杭县兴杭汽修维修站</w:t>
      </w:r>
      <w:bookmarkEnd w:id="71"/>
    </w:p>
    <w:p w14:paraId="146C3805">
      <w:pPr>
        <w:widowControl/>
        <w:ind w:firstLine="602" w:firstLineChars="200"/>
        <w:jc w:val="left"/>
        <w:outlineLvl w:val="9"/>
        <w:rPr>
          <w:rFonts w:hint="eastAsia" w:ascii="仿宋" w:hAnsi="仿宋" w:eastAsia="仿宋"/>
          <w:sz w:val="30"/>
          <w:szCs w:val="30"/>
        </w:rPr>
      </w:pPr>
      <w:r>
        <w:rPr>
          <w:rFonts w:hint="eastAsia" w:ascii="仿宋" w:hAnsi="仿宋" w:eastAsia="仿宋" w:cs="仿宋"/>
          <w:b/>
          <w:bCs/>
          <w:sz w:val="30"/>
          <w:szCs w:val="30"/>
        </w:rPr>
        <w:t>建设“装配式建筑示范性虚拟仿真实训基地”</w:t>
      </w:r>
      <w:r>
        <w:rPr>
          <w:rFonts w:hint="eastAsia" w:ascii="仿宋" w:hAnsi="仿宋" w:eastAsia="仿宋" w:cs="仿宋"/>
          <w:b/>
          <w:bCs/>
          <w:sz w:val="30"/>
          <w:szCs w:val="30"/>
          <w:lang w:eastAsia="zh-CN"/>
        </w:rPr>
        <w:t>。</w:t>
      </w:r>
      <w:r>
        <w:rPr>
          <w:rFonts w:hint="eastAsia" w:ascii="仿宋" w:hAnsi="仿宋" w:eastAsia="仿宋"/>
          <w:sz w:val="30"/>
          <w:szCs w:val="30"/>
        </w:rPr>
        <w:t>为满足装配式建筑专业实训条件，学校充分整合资源，统筹规划，及时组建“装配式建筑虚拟仿真实训基地”，有效解决了装配式建筑教学理实结合教学难题。同时，根据《福建省教育厅关于做好2023年省级职业教育产教融合重点建设项目申报工作的通知》（闽教职成〔2023〕24号）精神，经专家评审和公示，学校“装配式建筑示范性虚拟仿真实训基地”被确定为省级职业教育示范性虚拟仿真实训基地。该仿真实训基地建设增强了职业教育适应性，深化产教融合。 </w:t>
      </w:r>
    </w:p>
    <w:p w14:paraId="5B07C398">
      <w:pPr>
        <w:widowControl/>
        <w:jc w:val="left"/>
        <w:outlineLvl w:val="9"/>
      </w:pPr>
      <w:r>
        <w:drawing>
          <wp:inline distT="0" distB="0" distL="114300" distR="114300">
            <wp:extent cx="2491105" cy="3162935"/>
            <wp:effectExtent l="0" t="0" r="4445" b="18415"/>
            <wp:docPr id="7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1"/>
                    <pic:cNvPicPr>
                      <a:picLocks noChangeAspect="1"/>
                    </pic:cNvPicPr>
                  </pic:nvPicPr>
                  <pic:blipFill>
                    <a:blip r:embed="rId44"/>
                    <a:stretch>
                      <a:fillRect/>
                    </a:stretch>
                  </pic:blipFill>
                  <pic:spPr>
                    <a:xfrm>
                      <a:off x="0" y="0"/>
                      <a:ext cx="2491105" cy="3162935"/>
                    </a:xfrm>
                    <a:prstGeom prst="rect">
                      <a:avLst/>
                    </a:prstGeom>
                    <a:noFill/>
                    <a:ln>
                      <a:noFill/>
                    </a:ln>
                  </pic:spPr>
                </pic:pic>
              </a:graphicData>
            </a:graphic>
          </wp:inline>
        </w:drawing>
      </w:r>
      <w:r>
        <w:drawing>
          <wp:inline distT="0" distB="0" distL="114300" distR="114300">
            <wp:extent cx="2451100" cy="2788285"/>
            <wp:effectExtent l="0" t="0" r="6350" b="12065"/>
            <wp:docPr id="7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
                    <pic:cNvPicPr>
                      <a:picLocks noChangeAspect="1"/>
                    </pic:cNvPicPr>
                  </pic:nvPicPr>
                  <pic:blipFill>
                    <a:blip r:embed="rId45"/>
                    <a:stretch>
                      <a:fillRect/>
                    </a:stretch>
                  </pic:blipFill>
                  <pic:spPr>
                    <a:xfrm>
                      <a:off x="0" y="0"/>
                      <a:ext cx="2451100" cy="2788285"/>
                    </a:xfrm>
                    <a:prstGeom prst="rect">
                      <a:avLst/>
                    </a:prstGeom>
                    <a:noFill/>
                    <a:ln>
                      <a:noFill/>
                    </a:ln>
                  </pic:spPr>
                </pic:pic>
              </a:graphicData>
            </a:graphic>
          </wp:inline>
        </w:drawing>
      </w:r>
    </w:p>
    <w:p w14:paraId="7F659868">
      <w:pPr>
        <w:pStyle w:val="24"/>
        <w:bidi w:val="0"/>
        <w:rPr>
          <w:rFonts w:hint="eastAsia" w:ascii="仿宋" w:hAnsi="仿宋" w:eastAsia="仿宋" w:cs="仿宋"/>
          <w:b w:val="0"/>
          <w:bCs w:val="0"/>
          <w:sz w:val="24"/>
          <w:szCs w:val="24"/>
        </w:rPr>
      </w:pPr>
      <w:bookmarkStart w:id="72" w:name="_Toc10788"/>
      <w:r>
        <w:rPr>
          <w:rFonts w:hint="eastAsia" w:ascii="仿宋_GB2312" w:hAnsi="仿宋_GB2312"/>
          <w:lang w:val="en-US" w:eastAsia="zh-CN"/>
        </w:rPr>
        <w:t>图27 该基地被确定为省级职业教育示范性虚拟仿真实训基地</w:t>
      </w:r>
      <w:bookmarkEnd w:id="72"/>
      <w:r>
        <w:rPr>
          <w:rFonts w:hint="eastAsia" w:ascii="宋体" w:hAnsi="宋体"/>
          <w:sz w:val="28"/>
          <w:szCs w:val="28"/>
          <w:lang w:val="en-US" w:eastAsia="zh-CN"/>
        </w:rPr>
        <w:t xml:space="preserve">                </w:t>
      </w:r>
    </w:p>
    <w:p w14:paraId="636F57EA">
      <w:pPr>
        <w:spacing w:line="580" w:lineRule="exact"/>
        <w:outlineLvl w:val="1"/>
        <w:rPr>
          <w:rFonts w:hint="eastAsia" w:ascii="仿宋_GB2312" w:hAnsi="Yu Mincho Light" w:eastAsia="仿宋_GB2312" w:cs="Yu Mincho Light"/>
          <w:b/>
          <w:bCs/>
          <w:sz w:val="32"/>
          <w:lang w:val="en-US" w:eastAsia="zh-CN"/>
        </w:rPr>
      </w:pPr>
      <w:bookmarkStart w:id="73" w:name="_Toc5024"/>
      <w:r>
        <w:rPr>
          <w:rFonts w:hint="eastAsia" w:ascii="仿宋_GB2312" w:hAnsi="Yu Mincho Light" w:eastAsia="仿宋_GB2312" w:cs="Yu Mincho Light"/>
          <w:b/>
          <w:bCs/>
          <w:sz w:val="32"/>
          <w:lang w:val="en-US" w:eastAsia="zh-CN"/>
        </w:rPr>
        <w:t>2.2协同育人</w:t>
      </w:r>
      <w:bookmarkEnd w:id="73"/>
    </w:p>
    <w:p w14:paraId="2DC29974">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outlineLvl w:val="9"/>
        <w:rPr>
          <w:rFonts w:hint="eastAsia" w:ascii="仿宋" w:hAnsi="仿宋" w:eastAsia="仿宋"/>
          <w:sz w:val="30"/>
          <w:szCs w:val="30"/>
          <w:lang w:val="en-US" w:eastAsia="zh-CN"/>
        </w:rPr>
      </w:pPr>
      <w:r>
        <w:rPr>
          <w:rFonts w:hint="eastAsia" w:cs="Times New Roman" w:asciiTheme="minorEastAsia" w:hAnsiTheme="minorEastAsia"/>
          <w:sz w:val="28"/>
          <w:szCs w:val="28"/>
          <w:lang w:val="en-US" w:eastAsia="zh-CN"/>
        </w:rPr>
        <w:t>为</w:t>
      </w:r>
      <w:r>
        <w:rPr>
          <w:rFonts w:hint="eastAsia" w:ascii="仿宋" w:hAnsi="仿宋" w:eastAsia="仿宋"/>
          <w:sz w:val="30"/>
          <w:szCs w:val="30"/>
          <w:lang w:val="en-US" w:eastAsia="zh-CN"/>
        </w:rPr>
        <w:t>助力乡村振兴和“中国建筑之乡”更辉煌，培养建筑类人才，同时使产业更好反哺职业教育，学校在2013年成立</w:t>
      </w:r>
      <w:r>
        <w:rPr>
          <w:rFonts w:hint="eastAsia" w:ascii="仿宋" w:hAnsi="仿宋" w:eastAsia="仿宋"/>
          <w:sz w:val="30"/>
          <w:szCs w:val="30"/>
        </w:rPr>
        <w:t>上杭县建筑人才培训中心</w:t>
      </w:r>
      <w:r>
        <w:rPr>
          <w:rFonts w:hint="eastAsia" w:ascii="仿宋" w:hAnsi="仿宋" w:eastAsia="仿宋"/>
          <w:sz w:val="30"/>
          <w:szCs w:val="30"/>
          <w:lang w:eastAsia="zh-CN"/>
        </w:rPr>
        <w:t>。</w:t>
      </w:r>
      <w:r>
        <w:rPr>
          <w:rFonts w:hint="eastAsia" w:ascii="仿宋" w:hAnsi="仿宋" w:eastAsia="仿宋"/>
          <w:sz w:val="30"/>
          <w:szCs w:val="30"/>
        </w:rPr>
        <w:t>上杭县建筑人才培训中心</w:t>
      </w:r>
      <w:r>
        <w:rPr>
          <w:rFonts w:hint="eastAsia" w:ascii="仿宋" w:hAnsi="仿宋" w:eastAsia="仿宋"/>
          <w:sz w:val="30"/>
          <w:szCs w:val="30"/>
          <w:lang w:eastAsia="zh-CN"/>
        </w:rPr>
        <w:t>是我校建立的深化产教证融合典型案例之一，其宗旨和业务范围是：为上杭县建设行业的相关企业服务业务范围：建设行业人才技术培训及继续教育的培训考核等工作</w:t>
      </w:r>
      <w:r>
        <w:rPr>
          <w:rFonts w:hint="eastAsia" w:ascii="仿宋" w:hAnsi="仿宋" w:eastAsia="仿宋"/>
          <w:sz w:val="30"/>
          <w:szCs w:val="30"/>
          <w:lang w:val="en-US" w:eastAsia="zh-CN"/>
        </w:rPr>
        <w:t>，培训考核内容为三类人员、八大员、特种作业人员、园林四大员及绿色建筑相关技术人员”，以及乡村建设工匠检测试验人员等培训。</w:t>
      </w:r>
    </w:p>
    <w:p w14:paraId="280378B8">
      <w:pPr>
        <w:pStyle w:val="24"/>
        <w:bidi w:val="0"/>
        <w:rPr>
          <w:rFonts w:hint="eastAsia" w:ascii="仿宋_GB2312" w:hAnsi="仿宋_GB2312"/>
          <w:lang w:val="en-US" w:eastAsia="zh-CN"/>
        </w:rPr>
      </w:pPr>
    </w:p>
    <w:p w14:paraId="29E0C68B">
      <w:pPr>
        <w:pStyle w:val="24"/>
        <w:bidi w:val="0"/>
        <w:rPr>
          <w:rFonts w:hint="eastAsia" w:ascii="仿宋_GB2312" w:hAnsi="仿宋_GB2312"/>
          <w:lang w:val="en-US" w:eastAsia="zh-CN"/>
        </w:rPr>
      </w:pPr>
    </w:p>
    <w:p w14:paraId="65E31663">
      <w:pPr>
        <w:pStyle w:val="24"/>
        <w:bidi w:val="0"/>
        <w:rPr>
          <w:rFonts w:hint="eastAsia" w:ascii="仿宋_GB2312" w:hAnsi="仿宋_GB2312"/>
          <w:lang w:val="en-US" w:eastAsia="zh-CN"/>
        </w:rPr>
      </w:pPr>
    </w:p>
    <w:p w14:paraId="4F8E130A">
      <w:pPr>
        <w:pStyle w:val="24"/>
        <w:bidi w:val="0"/>
        <w:rPr>
          <w:rFonts w:hint="eastAsia" w:ascii="仿宋_GB2312" w:hAnsi="仿宋_GB2312"/>
          <w:lang w:val="en-US" w:eastAsia="zh-CN"/>
        </w:rPr>
      </w:pPr>
      <w:r>
        <w:rPr>
          <w:rFonts w:hint="eastAsia" w:ascii="仿宋_GB2312" w:hAnsi="仿宋_GB2312"/>
          <w:lang w:val="en-US" w:eastAsia="zh-CN"/>
        </w:rPr>
        <w:drawing>
          <wp:anchor distT="0" distB="0" distL="114300" distR="114300" simplePos="0" relativeHeight="251671552" behindDoc="0" locked="0" layoutInCell="1" allowOverlap="1">
            <wp:simplePos x="0" y="0"/>
            <wp:positionH relativeFrom="column">
              <wp:posOffset>88900</wp:posOffset>
            </wp:positionH>
            <wp:positionV relativeFrom="paragraph">
              <wp:posOffset>55245</wp:posOffset>
            </wp:positionV>
            <wp:extent cx="5447030" cy="2310130"/>
            <wp:effectExtent l="0" t="0" r="1270" b="13970"/>
            <wp:wrapTopAndBottom/>
            <wp:docPr id="68" name="图片 6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图片2"/>
                    <pic:cNvPicPr>
                      <a:picLocks noChangeAspect="1"/>
                    </pic:cNvPicPr>
                  </pic:nvPicPr>
                  <pic:blipFill>
                    <a:blip r:embed="rId46"/>
                    <a:stretch>
                      <a:fillRect/>
                    </a:stretch>
                  </pic:blipFill>
                  <pic:spPr>
                    <a:xfrm>
                      <a:off x="0" y="0"/>
                      <a:ext cx="5447030" cy="2310130"/>
                    </a:xfrm>
                    <a:prstGeom prst="rect">
                      <a:avLst/>
                    </a:prstGeom>
                  </pic:spPr>
                </pic:pic>
              </a:graphicData>
            </a:graphic>
          </wp:anchor>
        </w:drawing>
      </w:r>
    </w:p>
    <w:p w14:paraId="0B395B74">
      <w:pPr>
        <w:pStyle w:val="24"/>
        <w:bidi w:val="0"/>
        <w:rPr>
          <w:rFonts w:hint="eastAsia" w:ascii="仿宋_GB2312" w:hAnsi="仿宋_GB2312"/>
          <w:lang w:val="en-US" w:eastAsia="zh-CN"/>
        </w:rPr>
      </w:pPr>
      <w:r>
        <w:rPr>
          <w:rFonts w:hint="eastAsia" w:ascii="仿宋_GB2312" w:hAnsi="仿宋_GB2312"/>
          <w:lang w:val="en-US" w:eastAsia="zh-CN"/>
        </w:rPr>
        <w:t xml:space="preserve"> </w:t>
      </w:r>
      <w:bookmarkStart w:id="74" w:name="_Toc27557"/>
      <w:r>
        <w:rPr>
          <w:rFonts w:hint="eastAsia" w:ascii="仿宋_GB2312" w:hAnsi="仿宋_GB2312"/>
          <w:lang w:val="en-US" w:eastAsia="zh-CN"/>
        </w:rPr>
        <w:t>图28 上杭县建筑人才培训中心</w:t>
      </w:r>
      <w:bookmarkEnd w:id="74"/>
    </w:p>
    <w:p w14:paraId="378BDA82">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outlineLvl w:val="9"/>
        <w:rPr>
          <w:rFonts w:hint="eastAsia" w:ascii="楷体" w:hAnsi="楷体" w:eastAsia="楷体"/>
          <w:b/>
          <w:bCs/>
          <w:sz w:val="28"/>
          <w:szCs w:val="28"/>
          <w:lang w:eastAsia="zh-CN"/>
        </w:rPr>
      </w:pPr>
      <w:r>
        <w:rPr>
          <w:rFonts w:hint="eastAsia" w:ascii="楷体" w:hAnsi="楷体" w:eastAsia="楷体"/>
          <w:b/>
          <w:bCs/>
          <w:sz w:val="28"/>
          <w:szCs w:val="28"/>
        </w:rPr>
        <w:t>(一)</w:t>
      </w:r>
      <w:r>
        <w:rPr>
          <w:rFonts w:hint="eastAsia" w:ascii="楷体" w:hAnsi="楷体" w:eastAsia="楷体"/>
          <w:b/>
          <w:bCs/>
          <w:sz w:val="28"/>
          <w:szCs w:val="28"/>
          <w:lang w:eastAsia="zh-CN"/>
        </w:rPr>
        <w:t>助力建筑行业规范化，提高从业人员素质</w:t>
      </w:r>
    </w:p>
    <w:p w14:paraId="72D2735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rPr>
      </w:pPr>
      <w:r>
        <w:rPr>
          <w:rFonts w:hint="eastAsia" w:ascii="仿宋" w:hAnsi="仿宋" w:eastAsia="仿宋"/>
          <w:sz w:val="30"/>
          <w:szCs w:val="30"/>
          <w:lang w:val="en-US" w:eastAsia="zh-CN"/>
        </w:rPr>
        <w:t>2019年至</w:t>
      </w:r>
      <w:r>
        <w:rPr>
          <w:rFonts w:hint="eastAsia" w:ascii="仿宋" w:hAnsi="仿宋" w:eastAsia="仿宋"/>
          <w:sz w:val="30"/>
          <w:szCs w:val="30"/>
        </w:rPr>
        <w:t>202</w:t>
      </w:r>
      <w:r>
        <w:rPr>
          <w:rFonts w:hint="eastAsia" w:ascii="仿宋" w:hAnsi="仿宋" w:eastAsia="仿宋"/>
          <w:sz w:val="30"/>
          <w:szCs w:val="30"/>
          <w:lang w:val="en-US" w:eastAsia="zh-CN"/>
        </w:rPr>
        <w:t>4</w:t>
      </w:r>
      <w:r>
        <w:rPr>
          <w:rFonts w:hint="eastAsia" w:ascii="仿宋" w:hAnsi="仿宋" w:eastAsia="仿宋"/>
          <w:sz w:val="30"/>
          <w:szCs w:val="30"/>
        </w:rPr>
        <w:t>年</w:t>
      </w:r>
      <w:r>
        <w:rPr>
          <w:rFonts w:hint="eastAsia" w:ascii="仿宋" w:hAnsi="仿宋" w:eastAsia="仿宋"/>
          <w:sz w:val="30"/>
          <w:szCs w:val="30"/>
          <w:lang w:val="en-US" w:eastAsia="zh-CN"/>
        </w:rPr>
        <w:t>12月</w:t>
      </w:r>
      <w:r>
        <w:rPr>
          <w:rFonts w:hint="eastAsia" w:ascii="仿宋" w:hAnsi="仿宋" w:eastAsia="仿宋"/>
          <w:sz w:val="30"/>
          <w:szCs w:val="30"/>
        </w:rPr>
        <w:t>，完成施工现场专业人员培训测试</w:t>
      </w:r>
      <w:r>
        <w:rPr>
          <w:rFonts w:hint="eastAsia" w:ascii="仿宋" w:hAnsi="仿宋" w:eastAsia="仿宋"/>
          <w:sz w:val="30"/>
          <w:szCs w:val="30"/>
          <w:lang w:val="en-US" w:eastAsia="zh-CN"/>
        </w:rPr>
        <w:t>6322</w:t>
      </w:r>
      <w:r>
        <w:rPr>
          <w:rFonts w:hint="eastAsia" w:ascii="仿宋" w:hAnsi="仿宋" w:eastAsia="仿宋"/>
          <w:sz w:val="30"/>
          <w:szCs w:val="30"/>
        </w:rPr>
        <w:t>人次，安管人员考核</w:t>
      </w:r>
      <w:r>
        <w:rPr>
          <w:rFonts w:hint="eastAsia" w:ascii="仿宋" w:hAnsi="仿宋" w:eastAsia="仿宋"/>
          <w:sz w:val="30"/>
          <w:szCs w:val="30"/>
          <w:lang w:val="en-US" w:eastAsia="zh-CN"/>
        </w:rPr>
        <w:t>5335</w:t>
      </w:r>
      <w:r>
        <w:rPr>
          <w:rFonts w:hint="eastAsia" w:ascii="仿宋" w:hAnsi="仿宋" w:eastAsia="仿宋"/>
          <w:sz w:val="30"/>
          <w:szCs w:val="30"/>
        </w:rPr>
        <w:t>人</w:t>
      </w:r>
      <w:r>
        <w:rPr>
          <w:rFonts w:hint="eastAsia" w:ascii="仿宋" w:hAnsi="仿宋" w:eastAsia="仿宋"/>
          <w:sz w:val="30"/>
          <w:szCs w:val="30"/>
          <w:lang w:eastAsia="zh-CN"/>
        </w:rPr>
        <w:t>，</w:t>
      </w:r>
      <w:r>
        <w:rPr>
          <w:rFonts w:hint="eastAsia" w:ascii="仿宋" w:hAnsi="仿宋" w:eastAsia="仿宋"/>
          <w:sz w:val="30"/>
          <w:szCs w:val="30"/>
          <w:lang w:val="en-US" w:eastAsia="zh-CN"/>
        </w:rPr>
        <w:t>检测试验人员考核281人、特种作业建筑电工考核180人</w:t>
      </w:r>
      <w:r>
        <w:rPr>
          <w:rFonts w:hint="eastAsia" w:ascii="仿宋" w:hAnsi="仿宋" w:eastAsia="仿宋"/>
          <w:sz w:val="30"/>
          <w:szCs w:val="30"/>
          <w:lang w:eastAsia="zh-CN"/>
        </w:rPr>
        <w:t>。</w:t>
      </w:r>
      <w:r>
        <w:rPr>
          <w:rFonts w:hint="eastAsia" w:ascii="仿宋" w:hAnsi="仿宋" w:eastAsia="仿宋"/>
          <w:sz w:val="30"/>
          <w:szCs w:val="30"/>
        </w:rPr>
        <w:t>完成施工现场专业人员继续教育</w:t>
      </w:r>
      <w:r>
        <w:rPr>
          <w:rFonts w:hint="eastAsia" w:ascii="仿宋" w:hAnsi="仿宋" w:eastAsia="仿宋"/>
          <w:sz w:val="30"/>
          <w:szCs w:val="30"/>
          <w:lang w:val="en-US" w:eastAsia="zh-CN"/>
        </w:rPr>
        <w:t>26110</w:t>
      </w:r>
      <w:r>
        <w:rPr>
          <w:rFonts w:hint="eastAsia" w:ascii="仿宋" w:hAnsi="仿宋" w:eastAsia="仿宋"/>
          <w:sz w:val="30"/>
          <w:szCs w:val="30"/>
        </w:rPr>
        <w:t>人次、“安管人员”继续教育</w:t>
      </w:r>
      <w:r>
        <w:rPr>
          <w:rFonts w:hint="eastAsia" w:ascii="仿宋" w:hAnsi="仿宋" w:eastAsia="仿宋"/>
          <w:sz w:val="30"/>
          <w:szCs w:val="30"/>
          <w:lang w:val="en-US" w:eastAsia="zh-CN"/>
        </w:rPr>
        <w:t>14851</w:t>
      </w:r>
      <w:r>
        <w:rPr>
          <w:rFonts w:hint="eastAsia" w:ascii="仿宋" w:hAnsi="仿宋" w:eastAsia="仿宋"/>
          <w:sz w:val="30"/>
          <w:szCs w:val="30"/>
        </w:rPr>
        <w:t>人次</w:t>
      </w:r>
      <w:r>
        <w:rPr>
          <w:rFonts w:hint="eastAsia" w:ascii="仿宋" w:hAnsi="仿宋" w:eastAsia="仿宋"/>
          <w:sz w:val="30"/>
          <w:szCs w:val="30"/>
          <w:lang w:eastAsia="zh-CN"/>
        </w:rPr>
        <w:t>、“</w:t>
      </w:r>
      <w:r>
        <w:rPr>
          <w:rFonts w:hint="eastAsia" w:ascii="仿宋" w:hAnsi="仿宋" w:eastAsia="仿宋"/>
          <w:sz w:val="30"/>
          <w:szCs w:val="30"/>
          <w:lang w:val="en-US" w:eastAsia="zh-CN"/>
        </w:rPr>
        <w:t>特种作业</w:t>
      </w:r>
      <w:r>
        <w:rPr>
          <w:rFonts w:hint="eastAsia" w:ascii="仿宋" w:hAnsi="仿宋" w:eastAsia="仿宋"/>
          <w:sz w:val="30"/>
          <w:szCs w:val="30"/>
        </w:rPr>
        <w:t>”继续教育</w:t>
      </w:r>
      <w:r>
        <w:rPr>
          <w:rFonts w:hint="eastAsia" w:ascii="仿宋" w:hAnsi="仿宋" w:eastAsia="仿宋"/>
          <w:sz w:val="30"/>
          <w:szCs w:val="30"/>
          <w:lang w:val="en-US" w:eastAsia="zh-CN"/>
        </w:rPr>
        <w:t>826</w:t>
      </w:r>
      <w:r>
        <w:rPr>
          <w:rFonts w:hint="eastAsia" w:ascii="仿宋" w:hAnsi="仿宋" w:eastAsia="仿宋"/>
          <w:sz w:val="30"/>
          <w:szCs w:val="30"/>
        </w:rPr>
        <w:t>人次</w:t>
      </w:r>
      <w:r>
        <w:rPr>
          <w:rFonts w:hint="eastAsia" w:ascii="仿宋" w:hAnsi="仿宋" w:eastAsia="仿宋"/>
          <w:sz w:val="30"/>
          <w:szCs w:val="30"/>
          <w:lang w:eastAsia="zh-CN"/>
        </w:rPr>
        <w:t>、</w:t>
      </w:r>
      <w:r>
        <w:rPr>
          <w:rFonts w:hint="eastAsia" w:ascii="仿宋" w:hAnsi="仿宋" w:eastAsia="仿宋"/>
          <w:sz w:val="30"/>
          <w:szCs w:val="30"/>
          <w:lang w:val="en-US" w:eastAsia="zh-CN"/>
        </w:rPr>
        <w:t>农村带头工匠考核70人次、农村建筑工匠280人次。合计54255人次。</w:t>
      </w:r>
    </w:p>
    <w:tbl>
      <w:tblPr>
        <w:tblStyle w:val="19"/>
        <w:tblpPr w:leftFromText="180" w:rightFromText="180" w:vertAnchor="text" w:horzAnchor="page" w:tblpXSpec="center" w:tblpY="211"/>
        <w:tblOverlap w:val="never"/>
        <w:tblW w:w="9411" w:type="dxa"/>
        <w:jc w:val="center"/>
        <w:tblLayout w:type="fixed"/>
        <w:tblCellMar>
          <w:top w:w="0" w:type="dxa"/>
          <w:left w:w="0" w:type="dxa"/>
          <w:bottom w:w="0" w:type="dxa"/>
          <w:right w:w="0" w:type="dxa"/>
        </w:tblCellMar>
      </w:tblPr>
      <w:tblGrid>
        <w:gridCol w:w="2181"/>
        <w:gridCol w:w="2310"/>
        <w:gridCol w:w="2370"/>
        <w:gridCol w:w="2550"/>
      </w:tblGrid>
      <w:tr w14:paraId="6F68C9C3">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4472C4" w:sz="24" w:space="0"/>
              <w:right w:val="single" w:color="FEFEFE" w:sz="8" w:space="0"/>
            </w:tcBorders>
            <w:shd w:val="clear" w:color="auto" w:fill="FEFEFE"/>
            <w:noWrap/>
            <w:tcMar>
              <w:top w:w="15" w:type="dxa"/>
              <w:left w:w="15" w:type="dxa"/>
              <w:right w:w="15" w:type="dxa"/>
            </w:tcMar>
            <w:vAlign w:val="center"/>
          </w:tcPr>
          <w:p w14:paraId="7E8A127B">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类别</w:t>
            </w:r>
          </w:p>
        </w:tc>
        <w:tc>
          <w:tcPr>
            <w:tcW w:w="2310" w:type="dxa"/>
            <w:tcBorders>
              <w:top w:val="single" w:color="FEFEFE" w:sz="8" w:space="0"/>
              <w:left w:val="single" w:color="FEFEFE" w:sz="8" w:space="0"/>
              <w:bottom w:val="single" w:color="4472C4" w:sz="24" w:space="0"/>
              <w:right w:val="single" w:color="FEFEFE" w:sz="8" w:space="0"/>
            </w:tcBorders>
            <w:shd w:val="clear" w:color="auto" w:fill="FEFEFE"/>
            <w:noWrap/>
            <w:tcMar>
              <w:top w:w="15" w:type="dxa"/>
              <w:left w:w="15" w:type="dxa"/>
              <w:right w:w="15" w:type="dxa"/>
            </w:tcMar>
            <w:vAlign w:val="center"/>
          </w:tcPr>
          <w:p w14:paraId="604EC927">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新办证</w:t>
            </w:r>
          </w:p>
        </w:tc>
        <w:tc>
          <w:tcPr>
            <w:tcW w:w="2370" w:type="dxa"/>
            <w:tcBorders>
              <w:top w:val="single" w:color="FEFEFE" w:sz="8" w:space="0"/>
              <w:left w:val="single" w:color="FEFEFE" w:sz="8" w:space="0"/>
              <w:bottom w:val="single" w:color="4472C4" w:sz="24" w:space="0"/>
              <w:right w:val="single" w:color="FEFEFE" w:sz="8" w:space="0"/>
            </w:tcBorders>
            <w:shd w:val="clear" w:color="auto" w:fill="FEFEFE"/>
            <w:noWrap/>
            <w:tcMar>
              <w:top w:w="15" w:type="dxa"/>
              <w:left w:w="15" w:type="dxa"/>
              <w:right w:w="15" w:type="dxa"/>
            </w:tcMar>
            <w:vAlign w:val="center"/>
          </w:tcPr>
          <w:p w14:paraId="0117017F">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继续教育</w:t>
            </w:r>
          </w:p>
        </w:tc>
        <w:tc>
          <w:tcPr>
            <w:tcW w:w="2550" w:type="dxa"/>
            <w:tcBorders>
              <w:top w:val="single" w:color="FEFEFE" w:sz="8" w:space="0"/>
              <w:left w:val="single" w:color="FEFEFE" w:sz="8" w:space="0"/>
              <w:bottom w:val="single" w:color="4472C4" w:sz="24" w:space="0"/>
              <w:right w:val="single" w:color="FEFEFE" w:sz="8" w:space="0"/>
            </w:tcBorders>
            <w:shd w:val="clear" w:color="auto" w:fill="FEFEFE"/>
            <w:noWrap/>
            <w:tcMar>
              <w:top w:w="15" w:type="dxa"/>
              <w:left w:w="15" w:type="dxa"/>
              <w:right w:w="15" w:type="dxa"/>
            </w:tcMar>
            <w:vAlign w:val="center"/>
          </w:tcPr>
          <w:p w14:paraId="70DE8855">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小计（人次）</w:t>
            </w:r>
          </w:p>
        </w:tc>
      </w:tr>
      <w:tr w14:paraId="7A9A7BF2">
        <w:tblPrEx>
          <w:tblCellMar>
            <w:top w:w="0" w:type="dxa"/>
            <w:left w:w="0" w:type="dxa"/>
            <w:bottom w:w="0" w:type="dxa"/>
            <w:right w:w="0" w:type="dxa"/>
          </w:tblCellMar>
        </w:tblPrEx>
        <w:trPr>
          <w:trHeight w:val="340" w:hRule="atLeast"/>
          <w:jc w:val="center"/>
        </w:trPr>
        <w:tc>
          <w:tcPr>
            <w:tcW w:w="2181" w:type="dxa"/>
            <w:tcBorders>
              <w:top w:val="single" w:color="4472C4" w:sz="24"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4387BF31">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安管人员</w:t>
            </w:r>
          </w:p>
        </w:tc>
        <w:tc>
          <w:tcPr>
            <w:tcW w:w="2310" w:type="dxa"/>
            <w:tcBorders>
              <w:top w:val="single" w:color="4472C4" w:sz="24"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00818144">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5335</w:t>
            </w:r>
          </w:p>
        </w:tc>
        <w:tc>
          <w:tcPr>
            <w:tcW w:w="2370" w:type="dxa"/>
            <w:tcBorders>
              <w:top w:val="single" w:color="4472C4" w:sz="24"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01B1EFCF">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14851</w:t>
            </w:r>
          </w:p>
        </w:tc>
        <w:tc>
          <w:tcPr>
            <w:tcW w:w="2550" w:type="dxa"/>
            <w:tcBorders>
              <w:top w:val="single" w:color="4472C4" w:sz="24"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59E26F95">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20186</w:t>
            </w:r>
          </w:p>
        </w:tc>
      </w:tr>
      <w:tr w14:paraId="2F6677D1">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75CEE356">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八大员</w:t>
            </w:r>
          </w:p>
        </w:tc>
        <w:tc>
          <w:tcPr>
            <w:tcW w:w="231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4F6E2E45">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6322</w:t>
            </w:r>
          </w:p>
        </w:tc>
        <w:tc>
          <w:tcPr>
            <w:tcW w:w="237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77C7FA7C">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26110</w:t>
            </w:r>
          </w:p>
        </w:tc>
        <w:tc>
          <w:tcPr>
            <w:tcW w:w="255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7C22BB25">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32432</w:t>
            </w:r>
          </w:p>
        </w:tc>
      </w:tr>
      <w:tr w14:paraId="1C1E8000">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48A0460D">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特种作业</w:t>
            </w:r>
          </w:p>
        </w:tc>
        <w:tc>
          <w:tcPr>
            <w:tcW w:w="231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0E1E837F">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180</w:t>
            </w:r>
          </w:p>
        </w:tc>
        <w:tc>
          <w:tcPr>
            <w:tcW w:w="237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5B8D444C">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826</w:t>
            </w:r>
          </w:p>
        </w:tc>
        <w:tc>
          <w:tcPr>
            <w:tcW w:w="255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04E8328D">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1006</w:t>
            </w:r>
          </w:p>
        </w:tc>
      </w:tr>
      <w:tr w14:paraId="77D2C393">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1D218DB0">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检测试验员</w:t>
            </w:r>
          </w:p>
        </w:tc>
        <w:tc>
          <w:tcPr>
            <w:tcW w:w="231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58BEAE33">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281</w:t>
            </w:r>
          </w:p>
        </w:tc>
        <w:tc>
          <w:tcPr>
            <w:tcW w:w="237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6884B0E8">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w:t>
            </w:r>
          </w:p>
        </w:tc>
        <w:tc>
          <w:tcPr>
            <w:tcW w:w="255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4F0B989A">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281</w:t>
            </w:r>
          </w:p>
        </w:tc>
      </w:tr>
      <w:tr w14:paraId="56576E0F">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3648B5CD">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农村带头工匠</w:t>
            </w:r>
          </w:p>
        </w:tc>
        <w:tc>
          <w:tcPr>
            <w:tcW w:w="231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5C57CB09">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lang w:val="en-US" w:eastAsia="zh-CN"/>
              </w:rPr>
              <w:t>70</w:t>
            </w:r>
          </w:p>
        </w:tc>
        <w:tc>
          <w:tcPr>
            <w:tcW w:w="237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384BE78F">
            <w:pPr>
              <w:spacing w:line="560" w:lineRule="exact"/>
              <w:ind w:firstLine="480" w:firstLineChars="200"/>
              <w:jc w:val="center"/>
              <w:outlineLvl w:val="9"/>
              <w:rPr>
                <w:rFonts w:hint="eastAsia" w:ascii="宋体" w:hAnsi="宋体" w:eastAsia="宋体"/>
                <w:color w:val="000000"/>
                <w:sz w:val="24"/>
                <w:szCs w:val="24"/>
                <w:lang w:val="en-US" w:eastAsia="zh-CN"/>
              </w:rPr>
            </w:pPr>
            <w:r>
              <w:rPr>
                <w:rFonts w:hint="eastAsia" w:ascii="宋体" w:hAnsi="宋体" w:eastAsia="宋体"/>
                <w:color w:val="000000"/>
                <w:sz w:val="24"/>
                <w:szCs w:val="24"/>
              </w:rPr>
              <w:t>/</w:t>
            </w:r>
          </w:p>
        </w:tc>
        <w:tc>
          <w:tcPr>
            <w:tcW w:w="255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4A8EAF71">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70</w:t>
            </w:r>
          </w:p>
        </w:tc>
      </w:tr>
      <w:tr w14:paraId="1B4110DB">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0BD816FD">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农村建筑工匠</w:t>
            </w:r>
          </w:p>
        </w:tc>
        <w:tc>
          <w:tcPr>
            <w:tcW w:w="231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624A09A2">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280</w:t>
            </w:r>
          </w:p>
        </w:tc>
        <w:tc>
          <w:tcPr>
            <w:tcW w:w="237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26293A69">
            <w:pPr>
              <w:spacing w:line="560" w:lineRule="exact"/>
              <w:ind w:firstLine="480" w:firstLineChars="200"/>
              <w:jc w:val="center"/>
              <w:outlineLvl w:val="9"/>
              <w:rPr>
                <w:rFonts w:hint="eastAsia" w:ascii="宋体" w:hAnsi="宋体" w:eastAsia="宋体"/>
                <w:color w:val="000000"/>
                <w:sz w:val="24"/>
                <w:szCs w:val="24"/>
              </w:rPr>
            </w:pPr>
            <w:r>
              <w:rPr>
                <w:rFonts w:hint="eastAsia" w:ascii="宋体" w:hAnsi="宋体" w:eastAsia="宋体"/>
                <w:color w:val="000000"/>
                <w:sz w:val="24"/>
                <w:szCs w:val="24"/>
              </w:rPr>
              <w:t>/</w:t>
            </w:r>
          </w:p>
        </w:tc>
        <w:tc>
          <w:tcPr>
            <w:tcW w:w="2550" w:type="dxa"/>
            <w:tcBorders>
              <w:top w:val="single" w:color="FEFEFE" w:sz="8" w:space="0"/>
              <w:left w:val="single" w:color="FEFEFE" w:sz="8" w:space="0"/>
              <w:bottom w:val="single" w:color="FEFEFE" w:sz="8" w:space="0"/>
              <w:right w:val="single" w:color="FEFEFE" w:sz="8" w:space="0"/>
            </w:tcBorders>
            <w:shd w:val="clear" w:color="auto" w:fill="FEFEFE"/>
            <w:noWrap/>
            <w:tcMar>
              <w:top w:w="15" w:type="dxa"/>
              <w:left w:w="15" w:type="dxa"/>
              <w:right w:w="15" w:type="dxa"/>
            </w:tcMar>
            <w:vAlign w:val="center"/>
          </w:tcPr>
          <w:p w14:paraId="681CAFCE">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280</w:t>
            </w:r>
          </w:p>
        </w:tc>
      </w:tr>
      <w:tr w14:paraId="2C1E7C31">
        <w:tblPrEx>
          <w:tblCellMar>
            <w:top w:w="0" w:type="dxa"/>
            <w:left w:w="0" w:type="dxa"/>
            <w:bottom w:w="0" w:type="dxa"/>
            <w:right w:w="0" w:type="dxa"/>
          </w:tblCellMar>
        </w:tblPrEx>
        <w:trPr>
          <w:trHeight w:val="340" w:hRule="atLeast"/>
          <w:jc w:val="center"/>
        </w:trPr>
        <w:tc>
          <w:tcPr>
            <w:tcW w:w="2181"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2CA70912">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合计</w:t>
            </w:r>
          </w:p>
        </w:tc>
        <w:tc>
          <w:tcPr>
            <w:tcW w:w="231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62DD82E0">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12468</w:t>
            </w:r>
          </w:p>
        </w:tc>
        <w:tc>
          <w:tcPr>
            <w:tcW w:w="237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566C9D90">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41787</w:t>
            </w:r>
          </w:p>
        </w:tc>
        <w:tc>
          <w:tcPr>
            <w:tcW w:w="2550" w:type="dxa"/>
            <w:tcBorders>
              <w:top w:val="single" w:color="FEFEFE" w:sz="8" w:space="0"/>
              <w:left w:val="single" w:color="FEFEFE" w:sz="8" w:space="0"/>
              <w:bottom w:val="single" w:color="FEFEFE" w:sz="8" w:space="0"/>
              <w:right w:val="single" w:color="FEFEFE" w:sz="8" w:space="0"/>
            </w:tcBorders>
            <w:shd w:val="clear" w:color="auto" w:fill="D9E2F1"/>
            <w:noWrap/>
            <w:tcMar>
              <w:top w:w="15" w:type="dxa"/>
              <w:left w:w="15" w:type="dxa"/>
              <w:right w:w="15" w:type="dxa"/>
            </w:tcMar>
            <w:vAlign w:val="center"/>
          </w:tcPr>
          <w:p w14:paraId="2324DA2F">
            <w:pPr>
              <w:spacing w:line="560" w:lineRule="exact"/>
              <w:ind w:firstLine="480" w:firstLineChars="200"/>
              <w:jc w:val="center"/>
              <w:outlineLvl w:val="9"/>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54255</w:t>
            </w:r>
          </w:p>
        </w:tc>
      </w:tr>
    </w:tbl>
    <w:p w14:paraId="3144F01F">
      <w:pPr>
        <w:spacing w:line="560" w:lineRule="exact"/>
        <w:ind w:firstLine="360" w:firstLineChars="200"/>
        <w:jc w:val="center"/>
        <w:outlineLvl w:val="9"/>
        <w:rPr>
          <w:rFonts w:hint="eastAsia" w:ascii="宋体" w:hAnsi="宋体" w:eastAsia="宋体"/>
          <w:sz w:val="18"/>
          <w:szCs w:val="18"/>
          <w:lang w:eastAsia="zh-CN"/>
        </w:rPr>
      </w:pPr>
      <w:r>
        <w:rPr>
          <w:rFonts w:hint="eastAsia" w:ascii="宋体" w:hAnsi="宋体" w:eastAsia="宋体"/>
          <w:sz w:val="18"/>
          <w:szCs w:val="18"/>
        </w:rPr>
        <w:t>注：以上数据</w:t>
      </w:r>
      <w:r>
        <w:rPr>
          <w:rFonts w:hint="eastAsia" w:ascii="宋体" w:hAnsi="宋体" w:eastAsia="宋体"/>
          <w:sz w:val="18"/>
          <w:szCs w:val="18"/>
          <w:lang w:eastAsia="zh-CN"/>
        </w:rPr>
        <w:t>可</w:t>
      </w:r>
      <w:r>
        <w:rPr>
          <w:rFonts w:hint="eastAsia" w:ascii="宋体" w:hAnsi="宋体" w:eastAsia="宋体"/>
          <w:sz w:val="18"/>
          <w:szCs w:val="18"/>
        </w:rPr>
        <w:t>在福建省建设人才与科技发展中心（原福建省建设干部培训中心）网站查询</w:t>
      </w:r>
      <w:r>
        <w:rPr>
          <w:rFonts w:hint="eastAsia" w:ascii="宋体" w:hAnsi="宋体" w:eastAsia="宋体"/>
          <w:sz w:val="18"/>
          <w:szCs w:val="18"/>
          <w:lang w:eastAsia="zh-CN"/>
        </w:rPr>
        <w:t>。</w:t>
      </w:r>
    </w:p>
    <w:p w14:paraId="4170CC4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eastAsia="zh-CN"/>
        </w:rPr>
        <w:t>助力建筑行业规范化，提高从业人员持证率，近年为行业从业人员考核发证</w:t>
      </w:r>
      <w:r>
        <w:rPr>
          <w:rFonts w:hint="eastAsia" w:ascii="仿宋" w:hAnsi="仿宋" w:eastAsia="仿宋"/>
          <w:sz w:val="30"/>
          <w:szCs w:val="30"/>
          <w:lang w:val="en-US" w:eastAsia="zh-CN"/>
        </w:rPr>
        <w:t>54255人次</w:t>
      </w:r>
      <w:r>
        <w:rPr>
          <w:rFonts w:hint="eastAsia" w:ascii="仿宋" w:hAnsi="仿宋" w:eastAsia="仿宋"/>
          <w:sz w:val="30"/>
          <w:szCs w:val="30"/>
          <w:lang w:eastAsia="zh-CN"/>
        </w:rPr>
        <w:t>。根据《住房和城乡建设部关于改进住房和城乡建设领域施工现场专业人员职业培训工作的指导意见》（建人﹝2019﹞9号）、《住房和城乡建设部办公厅关于推进住房和城乡建设领域施工现场专业人员职业培训工作的通知》（建办人函﹝2019﹞384号）、《住房和城乡建设部人事司关于开展住房和城乡建设领域施工现场专业人员职业培训工作有关事项的通知》（建人才函﹝2019﹞22号）等文件精神，上杭县建筑人才培训中心培训考核三类人员、八大员、特种作业人员、园林四大员及绿色建筑相关技术人员”</w:t>
      </w:r>
      <w:r>
        <w:rPr>
          <w:rFonts w:hint="eastAsia" w:ascii="仿宋" w:hAnsi="仿宋" w:eastAsia="仿宋"/>
          <w:sz w:val="30"/>
          <w:szCs w:val="30"/>
          <w:lang w:val="en-US" w:eastAsia="zh-CN"/>
        </w:rPr>
        <w:t>。</w:t>
      </w:r>
    </w:p>
    <w:p w14:paraId="7F6B88AC">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eastAsia="zh-CN"/>
        </w:rPr>
      </w:pPr>
      <w:r>
        <w:rPr>
          <w:rFonts w:hint="eastAsia" w:ascii="仿宋" w:hAnsi="仿宋" w:eastAsia="仿宋"/>
          <w:sz w:val="30"/>
          <w:szCs w:val="30"/>
          <w:lang w:eastAsia="zh-CN"/>
        </w:rPr>
        <w:t>助力产业发展、乡村振兴，提高从业人员专业素养，广泛开展职业培训，近年共培训</w:t>
      </w:r>
      <w:r>
        <w:rPr>
          <w:rFonts w:hint="eastAsia" w:ascii="仿宋" w:hAnsi="仿宋" w:eastAsia="仿宋"/>
          <w:sz w:val="30"/>
          <w:szCs w:val="30"/>
          <w:lang w:val="en-US" w:eastAsia="zh-CN"/>
        </w:rPr>
        <w:t>42137</w:t>
      </w:r>
      <w:r>
        <w:rPr>
          <w:rFonts w:hint="eastAsia" w:ascii="仿宋" w:hAnsi="仿宋" w:eastAsia="仿宋"/>
          <w:sz w:val="30"/>
          <w:szCs w:val="30"/>
          <w:lang w:eastAsia="zh-CN"/>
        </w:rPr>
        <w:t>人次。</w:t>
      </w:r>
      <w:r>
        <w:rPr>
          <w:rFonts w:hint="eastAsia" w:ascii="仿宋" w:hAnsi="仿宋" w:eastAsia="仿宋"/>
          <w:sz w:val="30"/>
          <w:szCs w:val="30"/>
          <w:lang w:val="en-US" w:eastAsia="zh-CN"/>
        </w:rPr>
        <w:t>为打造一支经得起考验的“农村建筑工匠”队伍，进一步加强农房建设安全管理和风貌管控，提升农村建筑工匠业务能力，规范从业行为，根据</w:t>
      </w:r>
      <w:r>
        <w:rPr>
          <w:rFonts w:hint="eastAsia" w:ascii="仿宋" w:hAnsi="仿宋" w:eastAsia="仿宋"/>
          <w:sz w:val="30"/>
          <w:szCs w:val="30"/>
          <w:lang w:eastAsia="zh-CN"/>
        </w:rPr>
        <w:t>《福建省住房和城乡建设厅关于加强农村建筑工匠管理的通知》（闽建村〔2019〕10号）《福建省人民政府办公厅关于进一步强化农村建房安全管理的通知》（闽政办〔2021〕55号）</w:t>
      </w:r>
      <w:r>
        <w:rPr>
          <w:rFonts w:hint="eastAsia" w:ascii="仿宋" w:hAnsi="仿宋" w:eastAsia="仿宋"/>
          <w:sz w:val="30"/>
          <w:szCs w:val="30"/>
          <w:lang w:val="en-US" w:eastAsia="zh-CN"/>
        </w:rPr>
        <w:t>和</w:t>
      </w:r>
      <w:r>
        <w:rPr>
          <w:rFonts w:hint="eastAsia" w:ascii="仿宋" w:hAnsi="仿宋" w:eastAsia="仿宋"/>
          <w:sz w:val="30"/>
          <w:szCs w:val="30"/>
          <w:lang w:eastAsia="zh-CN"/>
        </w:rPr>
        <w:t>《福建省住房和城乡建设厅 福建省人力资源和社会保障厅关于开展“乡村建设带头工匠”培训的通知》（闽建村〔2022〕13号）</w:t>
      </w:r>
      <w:r>
        <w:rPr>
          <w:rFonts w:hint="eastAsia" w:ascii="仿宋" w:hAnsi="仿宋" w:eastAsia="仿宋"/>
          <w:sz w:val="30"/>
          <w:szCs w:val="30"/>
          <w:lang w:val="en-US" w:eastAsia="zh-CN"/>
        </w:rPr>
        <w:t>等文件</w:t>
      </w:r>
      <w:r>
        <w:rPr>
          <w:rFonts w:hint="eastAsia" w:ascii="仿宋" w:hAnsi="仿宋" w:eastAsia="仿宋"/>
          <w:sz w:val="30"/>
          <w:szCs w:val="30"/>
          <w:lang w:eastAsia="zh-CN"/>
        </w:rPr>
        <w:t>要求，上杭县建筑人才培训中心</w:t>
      </w:r>
      <w:r>
        <w:rPr>
          <w:rFonts w:hint="eastAsia" w:ascii="仿宋" w:hAnsi="仿宋" w:eastAsia="仿宋"/>
          <w:sz w:val="30"/>
          <w:szCs w:val="30"/>
          <w:lang w:val="en-US" w:eastAsia="zh-CN"/>
        </w:rPr>
        <w:t>举办</w:t>
      </w:r>
      <w:r>
        <w:rPr>
          <w:rFonts w:hint="eastAsia" w:ascii="仿宋" w:hAnsi="仿宋" w:eastAsia="仿宋"/>
          <w:sz w:val="30"/>
          <w:szCs w:val="30"/>
          <w:lang w:eastAsia="zh-CN"/>
        </w:rPr>
        <w:t>上杭县</w:t>
      </w:r>
      <w:r>
        <w:rPr>
          <w:rFonts w:hint="eastAsia" w:ascii="仿宋" w:hAnsi="仿宋" w:eastAsia="仿宋"/>
          <w:sz w:val="30"/>
          <w:szCs w:val="30"/>
          <w:lang w:val="en-US" w:eastAsia="zh-CN"/>
        </w:rPr>
        <w:t>“</w:t>
      </w:r>
      <w:r>
        <w:rPr>
          <w:rFonts w:hint="eastAsia" w:ascii="仿宋" w:hAnsi="仿宋" w:eastAsia="仿宋"/>
          <w:sz w:val="30"/>
          <w:szCs w:val="30"/>
          <w:lang w:eastAsia="zh-CN"/>
        </w:rPr>
        <w:t>农村建筑工匠”等继续教育培训。</w:t>
      </w:r>
    </w:p>
    <w:p w14:paraId="48F39733">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outlineLvl w:val="9"/>
        <w:rPr>
          <w:rFonts w:hint="eastAsia" w:ascii="仿宋" w:hAnsi="仿宋" w:eastAsia="仿宋"/>
          <w:b/>
          <w:bCs/>
          <w:sz w:val="30"/>
          <w:szCs w:val="30"/>
          <w:lang w:val="en-US" w:eastAsia="zh-CN"/>
        </w:rPr>
      </w:pPr>
      <w:r>
        <w:rPr>
          <w:rFonts w:hint="eastAsia" w:ascii="仿宋" w:hAnsi="仿宋" w:eastAsia="仿宋"/>
          <w:b/>
          <w:bCs/>
          <w:sz w:val="30"/>
          <w:szCs w:val="30"/>
          <w:lang w:val="en-US" w:eastAsia="zh-CN"/>
        </w:rPr>
        <w:t>(二)产业反哺教育，校企协同育人</w:t>
      </w:r>
    </w:p>
    <w:p w14:paraId="51685754">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共建共享生产性实训基地，校企协同育人。根据高技能人才培养目标，为满足学校建筑工程施工专业群学生实习实训、技能考核和技能大赛需求和教学与生产的无缝对接，学校与龙岩市四方工程检测有限公司、福建才溪建设集团有限公司、福建绿科智造工业集团有限公司等县域龙头企业开展校企合作。通过整合校企双方生产条件，在学校提供场地建设工程材料检测生产性实训基地挂牌“上杭职专工程材料检测实训基地”，校企双方共建共享生产性实训基地，并依法开展相关业务。</w:t>
      </w:r>
    </w:p>
    <w:p w14:paraId="4E6BD5D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上杭职专整合原建筑材料实验室、土工实验室、力学实验室等实训室相关实习实训设备，为确保正常业务开展，龙岩市四方工程检测有限公司在此基础上添置部分设备。实训基地通过校企共建，完善安全生产考核细则、实训实习成绩考核细则，形成系统科学的实践教学模块，科学规范的模块教学计划、环节、方式、考核标准和评价机制，高效务实的实训教学组织和管理机制。彻底解决工程材料检考核验操作风险高、试验耗材大和准备时间长。通过生产性的实训，让学生掌握工程材料检测内容和方法，满足建筑工程施工专业群《建筑材料》《市政工程材料检测》《工程质量检验与控制》等课程学习。</w:t>
      </w:r>
    </w:p>
    <w:p w14:paraId="49F071A9">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drawing>
          <wp:anchor distT="0" distB="0" distL="114300" distR="114300" simplePos="0" relativeHeight="251667456" behindDoc="0" locked="0" layoutInCell="1" allowOverlap="1">
            <wp:simplePos x="0" y="0"/>
            <wp:positionH relativeFrom="column">
              <wp:posOffset>-47625</wp:posOffset>
            </wp:positionH>
            <wp:positionV relativeFrom="paragraph">
              <wp:posOffset>126365</wp:posOffset>
            </wp:positionV>
            <wp:extent cx="5146675" cy="2985770"/>
            <wp:effectExtent l="0" t="0" r="4445" b="1270"/>
            <wp:wrapNone/>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47">
                      <a:extLst>
                        <a:ext uri="{28A0092B-C50C-407E-A947-70E740481C1C}">
                          <a14:useLocalDpi xmlns:a14="http://schemas.microsoft.com/office/drawing/2010/main" val="0"/>
                        </a:ext>
                      </a:extLst>
                    </a:blip>
                    <a:srcRect t="18099" b="19766"/>
                    <a:stretch>
                      <a:fillRect/>
                    </a:stretch>
                  </pic:blipFill>
                  <pic:spPr>
                    <a:xfrm>
                      <a:off x="0" y="0"/>
                      <a:ext cx="5146675" cy="2985770"/>
                    </a:xfrm>
                    <a:prstGeom prst="rect">
                      <a:avLst/>
                    </a:prstGeom>
                    <a:noFill/>
                  </pic:spPr>
                </pic:pic>
              </a:graphicData>
            </a:graphic>
          </wp:anchor>
        </w:drawing>
      </w:r>
    </w:p>
    <w:p w14:paraId="321DE152">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p>
    <w:p w14:paraId="2827E8A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p>
    <w:p w14:paraId="193A31E9">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p>
    <w:p w14:paraId="694291AC">
      <w:pPr>
        <w:spacing w:line="560" w:lineRule="exact"/>
        <w:outlineLvl w:val="9"/>
        <w:rPr>
          <w:rFonts w:ascii="宋体" w:hAnsi="宋体" w:eastAsia="宋体"/>
          <w:sz w:val="28"/>
          <w:szCs w:val="28"/>
        </w:rPr>
      </w:pPr>
    </w:p>
    <w:p w14:paraId="36E48145">
      <w:pPr>
        <w:spacing w:line="560" w:lineRule="exact"/>
        <w:outlineLvl w:val="9"/>
        <w:rPr>
          <w:rFonts w:ascii="宋体" w:hAnsi="宋体" w:eastAsia="宋体"/>
          <w:sz w:val="28"/>
          <w:szCs w:val="28"/>
        </w:rPr>
      </w:pPr>
    </w:p>
    <w:p w14:paraId="0AF78E1C">
      <w:pPr>
        <w:spacing w:line="560" w:lineRule="exact"/>
        <w:outlineLvl w:val="9"/>
        <w:rPr>
          <w:rFonts w:ascii="宋体" w:hAnsi="宋体" w:eastAsia="宋体"/>
          <w:sz w:val="28"/>
          <w:szCs w:val="28"/>
        </w:rPr>
      </w:pPr>
    </w:p>
    <w:p w14:paraId="62D3AAAC">
      <w:pPr>
        <w:spacing w:line="560" w:lineRule="exact"/>
        <w:jc w:val="center"/>
        <w:outlineLvl w:val="9"/>
        <w:rPr>
          <w:rFonts w:hint="eastAsia" w:ascii="仿宋" w:hAnsi="仿宋" w:eastAsia="仿宋" w:cs="仿宋"/>
          <w:sz w:val="24"/>
          <w:szCs w:val="24"/>
          <w:lang w:eastAsia="zh-CN"/>
        </w:rPr>
      </w:pPr>
    </w:p>
    <w:p w14:paraId="46E81115">
      <w:pPr>
        <w:spacing w:line="560" w:lineRule="exact"/>
        <w:jc w:val="center"/>
        <w:outlineLvl w:val="9"/>
        <w:rPr>
          <w:rFonts w:hint="eastAsia" w:ascii="仿宋" w:hAnsi="仿宋" w:eastAsia="仿宋" w:cs="仿宋"/>
          <w:sz w:val="24"/>
          <w:szCs w:val="24"/>
          <w:lang w:eastAsia="zh-CN"/>
        </w:rPr>
      </w:pPr>
    </w:p>
    <w:p w14:paraId="7C828BA7">
      <w:pPr>
        <w:pStyle w:val="24"/>
        <w:bidi w:val="0"/>
        <w:rPr>
          <w:rFonts w:hint="eastAsia" w:ascii="仿宋_GB2312" w:hAnsi="仿宋_GB2312"/>
          <w:lang w:val="en-US" w:eastAsia="zh-CN"/>
        </w:rPr>
      </w:pPr>
      <w:bookmarkStart w:id="75" w:name="_Toc21436"/>
      <w:r>
        <w:rPr>
          <w:rFonts w:hint="eastAsia" w:ascii="仿宋_GB2312" w:hAnsi="仿宋_GB2312"/>
          <w:lang w:val="en-US" w:eastAsia="zh-CN"/>
        </w:rPr>
        <w:t>图29 生产性实训基地</w:t>
      </w:r>
      <w:bookmarkEnd w:id="75"/>
    </w:p>
    <w:p w14:paraId="5EEFF635">
      <w:pPr>
        <w:pStyle w:val="24"/>
        <w:bidi w:val="0"/>
        <w:rPr>
          <w:rFonts w:hint="eastAsia" w:ascii="仿宋_GB2312" w:hAnsi="仿宋_GB2312"/>
          <w:lang w:val="en-US" w:eastAsia="zh-CN"/>
        </w:rPr>
      </w:pPr>
    </w:p>
    <w:p w14:paraId="5E9EB162">
      <w:pPr>
        <w:pStyle w:val="24"/>
        <w:bidi w:val="0"/>
        <w:jc w:val="both"/>
        <w:rPr>
          <w:rFonts w:hint="eastAsia" w:ascii="仿宋_GB2312" w:hAnsi="仿宋_GB2312"/>
          <w:lang w:val="en-US" w:eastAsia="zh-CN"/>
        </w:rPr>
      </w:pPr>
    </w:p>
    <w:p w14:paraId="37CFB5DD">
      <w:pPr>
        <w:spacing w:line="560" w:lineRule="exact"/>
        <w:jc w:val="center"/>
        <w:outlineLvl w:val="9"/>
        <w:rPr>
          <w:rFonts w:hint="eastAsia" w:ascii="仿宋" w:hAnsi="仿宋" w:eastAsia="仿宋" w:cs="仿宋"/>
          <w:sz w:val="24"/>
          <w:szCs w:val="24"/>
        </w:rPr>
      </w:pPr>
      <w:r>
        <w:rPr>
          <w:rFonts w:hint="eastAsia" w:ascii="仿宋" w:hAnsi="仿宋" w:eastAsia="仿宋" w:cs="仿宋"/>
          <w:sz w:val="24"/>
          <w:szCs w:val="24"/>
        </w:rPr>
        <w:drawing>
          <wp:anchor distT="0" distB="0" distL="114300" distR="114300" simplePos="0" relativeHeight="251670528" behindDoc="0" locked="0" layoutInCell="1" allowOverlap="1">
            <wp:simplePos x="0" y="0"/>
            <wp:positionH relativeFrom="margin">
              <wp:posOffset>-78105</wp:posOffset>
            </wp:positionH>
            <wp:positionV relativeFrom="paragraph">
              <wp:posOffset>100330</wp:posOffset>
            </wp:positionV>
            <wp:extent cx="5257165" cy="2962910"/>
            <wp:effectExtent l="0" t="0" r="635" b="8890"/>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pic:cNvPicPr>
                  </pic:nvPicPr>
                  <pic:blipFill>
                    <a:blip r:embed="rId48" cstate="print">
                      <a:extLst>
                        <a:ext uri="{28A0092B-C50C-407E-A947-70E740481C1C}">
                          <a14:useLocalDpi xmlns:a14="http://schemas.microsoft.com/office/drawing/2010/main" val="0"/>
                        </a:ext>
                      </a:extLst>
                    </a:blip>
                    <a:srcRect l="-1445" t="15620" r="17987" b="14384"/>
                    <a:stretch>
                      <a:fillRect/>
                    </a:stretch>
                  </pic:blipFill>
                  <pic:spPr>
                    <a:xfrm>
                      <a:off x="0" y="0"/>
                      <a:ext cx="5257165" cy="2962910"/>
                    </a:xfrm>
                    <a:prstGeom prst="rect">
                      <a:avLst/>
                    </a:prstGeom>
                  </pic:spPr>
                </pic:pic>
              </a:graphicData>
            </a:graphic>
          </wp:anchor>
        </w:drawing>
      </w:r>
    </w:p>
    <w:p w14:paraId="05233B7D">
      <w:pPr>
        <w:spacing w:line="560" w:lineRule="exact"/>
        <w:jc w:val="center"/>
        <w:outlineLvl w:val="9"/>
        <w:rPr>
          <w:rFonts w:hint="eastAsia" w:ascii="仿宋" w:hAnsi="仿宋" w:eastAsia="仿宋" w:cs="仿宋"/>
          <w:sz w:val="24"/>
          <w:szCs w:val="24"/>
        </w:rPr>
      </w:pPr>
    </w:p>
    <w:p w14:paraId="07A5A399">
      <w:pPr>
        <w:spacing w:line="560" w:lineRule="exact"/>
        <w:outlineLvl w:val="9"/>
        <w:rPr>
          <w:rFonts w:ascii="宋体" w:hAnsi="宋体" w:eastAsia="宋体"/>
          <w:sz w:val="28"/>
          <w:szCs w:val="28"/>
        </w:rPr>
      </w:pPr>
    </w:p>
    <w:p w14:paraId="1E0009AD">
      <w:pPr>
        <w:spacing w:line="560" w:lineRule="exact"/>
        <w:outlineLvl w:val="9"/>
        <w:rPr>
          <w:rFonts w:ascii="宋体" w:hAnsi="宋体" w:eastAsia="宋体"/>
          <w:sz w:val="28"/>
          <w:szCs w:val="28"/>
        </w:rPr>
      </w:pPr>
    </w:p>
    <w:p w14:paraId="0DF892C2">
      <w:pPr>
        <w:spacing w:line="560" w:lineRule="exact"/>
        <w:outlineLvl w:val="9"/>
        <w:rPr>
          <w:rFonts w:ascii="宋体" w:hAnsi="宋体" w:eastAsia="宋体"/>
          <w:sz w:val="28"/>
          <w:szCs w:val="28"/>
        </w:rPr>
      </w:pPr>
    </w:p>
    <w:p w14:paraId="2AE2F1CB">
      <w:pPr>
        <w:spacing w:line="560" w:lineRule="exact"/>
        <w:outlineLvl w:val="9"/>
        <w:rPr>
          <w:rFonts w:ascii="宋体" w:hAnsi="宋体" w:eastAsia="宋体"/>
          <w:sz w:val="28"/>
          <w:szCs w:val="28"/>
        </w:rPr>
      </w:pPr>
    </w:p>
    <w:p w14:paraId="14C0B1AF">
      <w:pPr>
        <w:spacing w:line="560" w:lineRule="exact"/>
        <w:outlineLvl w:val="9"/>
        <w:rPr>
          <w:rFonts w:ascii="宋体" w:hAnsi="宋体" w:eastAsia="宋体"/>
          <w:sz w:val="28"/>
          <w:szCs w:val="28"/>
        </w:rPr>
      </w:pPr>
    </w:p>
    <w:p w14:paraId="394FAB58">
      <w:pPr>
        <w:spacing w:line="560" w:lineRule="exact"/>
        <w:outlineLvl w:val="9"/>
        <w:rPr>
          <w:rFonts w:ascii="宋体" w:hAnsi="宋体" w:eastAsia="宋体"/>
          <w:sz w:val="28"/>
          <w:szCs w:val="28"/>
        </w:rPr>
      </w:pPr>
    </w:p>
    <w:p w14:paraId="7B71A0FC">
      <w:pPr>
        <w:spacing w:line="560" w:lineRule="exact"/>
        <w:outlineLvl w:val="9"/>
        <w:rPr>
          <w:rFonts w:ascii="宋体" w:hAnsi="宋体" w:eastAsia="宋体"/>
          <w:sz w:val="28"/>
          <w:szCs w:val="28"/>
        </w:rPr>
      </w:pPr>
    </w:p>
    <w:p w14:paraId="77D76D1D">
      <w:pPr>
        <w:pStyle w:val="24"/>
        <w:bidi w:val="0"/>
        <w:rPr>
          <w:rFonts w:hint="default" w:ascii="仿宋_GB2312" w:hAnsi="仿宋_GB2312"/>
          <w:lang w:val="en-US" w:eastAsia="zh-CN"/>
        </w:rPr>
      </w:pPr>
      <w:bookmarkStart w:id="76" w:name="_Toc595"/>
      <w:r>
        <w:rPr>
          <w:rFonts w:hint="eastAsia" w:ascii="仿宋_GB2312" w:hAnsi="仿宋_GB2312"/>
          <w:lang w:val="en-US" w:eastAsia="zh-CN"/>
        </w:rPr>
        <w:t>图30 才建集团建筑产业学院牌匾</w:t>
      </w:r>
      <w:bookmarkEnd w:id="76"/>
    </w:p>
    <w:p w14:paraId="63D22F3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校企人才互聘，强化“双师型”教师队伍建设。上杭职专根据教学需要，通过外聘龙岩市四方工程检测有限公司专业技术人才担任外聘教师和实践教学指导教师，参与学校专业建设指导委员会，参与学校的发展规划编制、专业建设和教育教学指导工作，参与制定相关专业人才培养方案，校企协同育人。同时，通过基地建设，完善教师企业实践基地建设，完善教师企业实践管理办法，由龙岩市四方工程检测有限公司聘用建筑专业教师为企业工程师或相关技术人员，参与企业生产，参与企业新技术研发、新工艺推广和新材料运用，提高专业教师实践技能和专业生产能力，培养工程材料检测类行业专家。建设一支数量足够、素质优良、相对稳固的“双师型”教师队伍。</w:t>
      </w:r>
    </w:p>
    <w:p w14:paraId="734F20DD">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协助指导学生技能大赛，在教师和企业专家的共同配合下，建筑专业在技能大赛方面连续两年取得国赛三等奖；24年度省赛一等奖2项、二等奖1项；23年度省赛一等奖3项等优异成绩。协助建筑专业教学，并使建筑专业连续几年在高职招考的本科比率中远高于全省平均水平，达全市第一的好成绩。</w:t>
      </w:r>
    </w:p>
    <w:p w14:paraId="63095E82">
      <w:pPr>
        <w:pStyle w:val="24"/>
        <w:bidi w:val="0"/>
        <w:rPr>
          <w:rFonts w:hint="eastAsia" w:ascii="仿宋_GB2312" w:hAnsi="仿宋_GB2312"/>
          <w:lang w:val="en-US" w:eastAsia="zh-CN"/>
        </w:rPr>
      </w:pPr>
      <w:r>
        <w:rPr>
          <w:rFonts w:hint="eastAsia" w:ascii="仿宋_GB2312" w:hAnsi="仿宋_GB2312"/>
          <w:lang w:val="en-US" w:eastAsia="zh-CN"/>
        </w:rPr>
        <w:drawing>
          <wp:anchor distT="0" distB="0" distL="114300" distR="114300" simplePos="0" relativeHeight="251668480" behindDoc="0" locked="0" layoutInCell="1" allowOverlap="1">
            <wp:simplePos x="0" y="0"/>
            <wp:positionH relativeFrom="column">
              <wp:posOffset>17780</wp:posOffset>
            </wp:positionH>
            <wp:positionV relativeFrom="paragraph">
              <wp:posOffset>138430</wp:posOffset>
            </wp:positionV>
            <wp:extent cx="5274310" cy="3954145"/>
            <wp:effectExtent l="0" t="0" r="2540" b="8255"/>
            <wp:wrapSquare wrapText="bothSides"/>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274310" cy="3954145"/>
                    </a:xfrm>
                    <a:prstGeom prst="rect">
                      <a:avLst/>
                    </a:prstGeom>
                  </pic:spPr>
                </pic:pic>
              </a:graphicData>
            </a:graphic>
          </wp:anchor>
        </w:drawing>
      </w:r>
    </w:p>
    <w:p w14:paraId="24D99EBD">
      <w:pPr>
        <w:pStyle w:val="24"/>
        <w:bidi w:val="0"/>
        <w:rPr>
          <w:rFonts w:hint="eastAsia" w:ascii="仿宋_GB2312" w:hAnsi="仿宋_GB2312"/>
          <w:lang w:val="en-US" w:eastAsia="zh-CN"/>
        </w:rPr>
      </w:pPr>
      <w:bookmarkStart w:id="77" w:name="_Toc24358"/>
      <w:r>
        <w:rPr>
          <w:rFonts w:hint="eastAsia" w:ascii="仿宋_GB2312" w:hAnsi="仿宋_GB2312"/>
          <w:lang w:val="en-US" w:eastAsia="zh-CN"/>
        </w:rPr>
        <w:t>图31 建筑专业教师为企业培养人才、并指导生产</w:t>
      </w:r>
      <w:bookmarkEnd w:id="77"/>
    </w:p>
    <w:p w14:paraId="3193DC1B">
      <w:pPr>
        <w:pStyle w:val="24"/>
        <w:bidi w:val="0"/>
        <w:rPr>
          <w:rFonts w:hint="eastAsia" w:ascii="仿宋_GB2312" w:hAnsi="仿宋_GB2312"/>
          <w:lang w:val="en-US" w:eastAsia="zh-CN"/>
        </w:rPr>
      </w:pPr>
    </w:p>
    <w:p w14:paraId="76F55C81">
      <w:pPr>
        <w:pStyle w:val="24"/>
        <w:bidi w:val="0"/>
        <w:rPr>
          <w:rFonts w:hint="eastAsia" w:ascii="仿宋_GB2312" w:hAnsi="仿宋_GB2312"/>
          <w:lang w:val="en-US" w:eastAsia="zh-CN"/>
        </w:rPr>
      </w:pPr>
      <w:r>
        <w:rPr>
          <w:rFonts w:hint="eastAsia" w:ascii="仿宋_GB2312" w:hAnsi="仿宋_GB2312"/>
          <w:lang w:val="en-US" w:eastAsia="zh-CN"/>
        </w:rPr>
        <w:drawing>
          <wp:anchor distT="0" distB="0" distL="114300" distR="114300" simplePos="0" relativeHeight="251669504" behindDoc="0" locked="0" layoutInCell="1" allowOverlap="1">
            <wp:simplePos x="0" y="0"/>
            <wp:positionH relativeFrom="margin">
              <wp:posOffset>37465</wp:posOffset>
            </wp:positionH>
            <wp:positionV relativeFrom="paragraph">
              <wp:posOffset>52705</wp:posOffset>
            </wp:positionV>
            <wp:extent cx="5281295" cy="3413125"/>
            <wp:effectExtent l="0" t="0" r="14605" b="15875"/>
            <wp:wrapTopAndBottom/>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pic:cNvPicPr>
                  </pic:nvPicPr>
                  <pic:blipFill>
                    <a:blip r:embed="rId50" cstate="print">
                      <a:extLst>
                        <a:ext uri="{28A0092B-C50C-407E-A947-70E740481C1C}">
                          <a14:useLocalDpi xmlns:a14="http://schemas.microsoft.com/office/drawing/2010/main" val="0"/>
                        </a:ext>
                      </a:extLst>
                    </a:blip>
                    <a:srcRect t="10819"/>
                    <a:stretch>
                      <a:fillRect/>
                    </a:stretch>
                  </pic:blipFill>
                  <pic:spPr>
                    <a:xfrm>
                      <a:off x="0" y="0"/>
                      <a:ext cx="5281295" cy="3413125"/>
                    </a:xfrm>
                    <a:prstGeom prst="rect">
                      <a:avLst/>
                    </a:prstGeom>
                  </pic:spPr>
                </pic:pic>
              </a:graphicData>
            </a:graphic>
          </wp:anchor>
        </w:drawing>
      </w:r>
    </w:p>
    <w:p w14:paraId="4E62A24E">
      <w:pPr>
        <w:pStyle w:val="24"/>
        <w:bidi w:val="0"/>
        <w:rPr>
          <w:rFonts w:hint="eastAsia" w:ascii="仿宋_GB2312" w:hAnsi="仿宋_GB2312"/>
          <w:lang w:val="en-US" w:eastAsia="zh-CN"/>
        </w:rPr>
      </w:pPr>
      <w:bookmarkStart w:id="78" w:name="_Toc11183"/>
      <w:r>
        <w:rPr>
          <w:rFonts w:hint="eastAsia" w:ascii="仿宋_GB2312" w:hAnsi="仿宋_GB2312"/>
          <w:lang w:val="en-US" w:eastAsia="zh-CN"/>
        </w:rPr>
        <w:t>图32 企业专家为学校指导学生技能大赛、讲授专业知识</w:t>
      </w:r>
      <w:bookmarkEnd w:id="78"/>
    </w:p>
    <w:p w14:paraId="72AF4D3B">
      <w:pPr>
        <w:numPr>
          <w:ilvl w:val="0"/>
          <w:numId w:val="1"/>
        </w:numPr>
        <w:spacing w:line="560" w:lineRule="exact"/>
        <w:ind w:firstLine="562" w:firstLineChars="200"/>
        <w:outlineLvl w:val="9"/>
        <w:rPr>
          <w:rFonts w:hint="eastAsia" w:ascii="楷体" w:hAnsi="楷体" w:eastAsia="楷体"/>
          <w:b/>
          <w:bCs/>
          <w:sz w:val="28"/>
          <w:szCs w:val="28"/>
          <w:lang w:eastAsia="zh-CN"/>
        </w:rPr>
      </w:pPr>
      <w:r>
        <w:rPr>
          <w:rFonts w:hint="eastAsia" w:ascii="楷体" w:hAnsi="楷体" w:eastAsia="楷体"/>
          <w:b/>
          <w:bCs/>
          <w:sz w:val="28"/>
          <w:szCs w:val="28"/>
          <w:lang w:eastAsia="zh-CN"/>
        </w:rPr>
        <w:t>校企深度合作</w:t>
      </w:r>
      <w:r>
        <w:rPr>
          <w:rFonts w:hint="eastAsia" w:ascii="楷体" w:hAnsi="楷体" w:eastAsia="楷体"/>
          <w:b/>
          <w:bCs/>
          <w:sz w:val="28"/>
          <w:szCs w:val="28"/>
        </w:rPr>
        <w:t>，</w:t>
      </w:r>
      <w:r>
        <w:rPr>
          <w:rFonts w:hint="eastAsia" w:ascii="楷体" w:hAnsi="楷体" w:eastAsia="楷体"/>
          <w:b/>
          <w:bCs/>
          <w:sz w:val="28"/>
          <w:szCs w:val="28"/>
          <w:lang w:eastAsia="zh-CN"/>
        </w:rPr>
        <w:t>紧跟行业步伐、更新人才培养模式</w:t>
      </w:r>
    </w:p>
    <w:p w14:paraId="5A1AB188">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为加强学校与企业的深度合作，推动教育与行业的紧密结合，促进专业发展，培养适应社会需求的高素质人才，</w:t>
      </w:r>
      <w:r>
        <w:rPr>
          <w:rFonts w:hint="default" w:ascii="仿宋" w:hAnsi="仿宋" w:eastAsia="仿宋"/>
          <w:sz w:val="30"/>
          <w:szCs w:val="30"/>
          <w:lang w:val="en-US" w:eastAsia="zh-CN"/>
        </w:rPr>
        <w:t>12月23日，</w:t>
      </w:r>
      <w:r>
        <w:rPr>
          <w:rFonts w:hint="eastAsia" w:ascii="仿宋" w:hAnsi="仿宋" w:eastAsia="仿宋"/>
          <w:sz w:val="30"/>
          <w:szCs w:val="30"/>
          <w:lang w:val="en-US" w:eastAsia="zh-CN"/>
        </w:rPr>
        <w:t>上杭职专</w:t>
      </w:r>
      <w:r>
        <w:rPr>
          <w:rFonts w:hint="default" w:ascii="仿宋" w:hAnsi="仿宋" w:eastAsia="仿宋"/>
          <w:sz w:val="30"/>
          <w:szCs w:val="30"/>
          <w:lang w:val="en-US" w:eastAsia="zh-CN"/>
        </w:rPr>
        <w:t>召开2023年专业发展暨校企合作年会</w:t>
      </w:r>
      <w:r>
        <w:rPr>
          <w:rFonts w:hint="eastAsia" w:ascii="仿宋" w:hAnsi="仿宋" w:eastAsia="仿宋"/>
          <w:sz w:val="30"/>
          <w:szCs w:val="30"/>
          <w:lang w:val="en-US" w:eastAsia="zh-CN"/>
        </w:rPr>
        <w:t>，更新人才培养方案。</w:t>
      </w:r>
    </w:p>
    <w:p w14:paraId="2A358D83">
      <w:pPr>
        <w:pStyle w:val="24"/>
        <w:bidi w:val="0"/>
        <w:rPr>
          <w:rFonts w:hint="eastAsia"/>
          <w:lang w:val="en-US" w:eastAsia="zh-CN"/>
        </w:rPr>
      </w:pPr>
    </w:p>
    <w:p w14:paraId="35588B3F">
      <w:pPr>
        <w:pStyle w:val="24"/>
        <w:bidi w:val="0"/>
        <w:rPr>
          <w:rFonts w:hint="eastAsia"/>
          <w:lang w:val="en-US" w:eastAsia="zh-CN"/>
        </w:rPr>
      </w:pPr>
      <w:bookmarkStart w:id="79" w:name="_Toc30958"/>
      <w:r>
        <w:rPr>
          <w:rFonts w:hint="eastAsia"/>
          <w:lang w:val="en-US" w:eastAsia="zh-CN"/>
        </w:rPr>
        <w:drawing>
          <wp:inline distT="0" distB="0" distL="114300" distR="114300">
            <wp:extent cx="5266690" cy="3511550"/>
            <wp:effectExtent l="0" t="0" r="10160" b="12700"/>
            <wp:docPr id="69" name="图片 69" descr="63643d5e8fb19a717b304a4b8ab805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63643d5e8fb19a717b304a4b8ab805a6"/>
                    <pic:cNvPicPr>
                      <a:picLocks noChangeAspect="1"/>
                    </pic:cNvPicPr>
                  </pic:nvPicPr>
                  <pic:blipFill>
                    <a:blip r:embed="rId51"/>
                    <a:stretch>
                      <a:fillRect/>
                    </a:stretch>
                  </pic:blipFill>
                  <pic:spPr>
                    <a:xfrm>
                      <a:off x="0" y="0"/>
                      <a:ext cx="5266690" cy="3511550"/>
                    </a:xfrm>
                    <a:prstGeom prst="rect">
                      <a:avLst/>
                    </a:prstGeom>
                  </pic:spPr>
                </pic:pic>
              </a:graphicData>
            </a:graphic>
          </wp:inline>
        </w:drawing>
      </w:r>
    </w:p>
    <w:p w14:paraId="1BEAED74">
      <w:pPr>
        <w:pStyle w:val="24"/>
        <w:bidi w:val="0"/>
        <w:jc w:val="both"/>
        <w:rPr>
          <w:rFonts w:hint="eastAsia"/>
          <w:lang w:val="en-US" w:eastAsia="zh-CN"/>
        </w:rPr>
      </w:pPr>
    </w:p>
    <w:p w14:paraId="11597A2E">
      <w:pPr>
        <w:pStyle w:val="24"/>
        <w:bidi w:val="0"/>
        <w:rPr>
          <w:rFonts w:hint="eastAsia"/>
          <w:lang w:val="en-US" w:eastAsia="zh-CN"/>
        </w:rPr>
      </w:pPr>
      <w:r>
        <w:rPr>
          <w:rFonts w:hint="eastAsia"/>
          <w:lang w:val="en-US" w:eastAsia="zh-CN"/>
        </w:rPr>
        <w:t>图33 校企合作年会</w:t>
      </w:r>
      <w:bookmarkEnd w:id="79"/>
    </w:p>
    <w:p w14:paraId="575AC353">
      <w:pPr>
        <w:numPr>
          <w:ilvl w:val="0"/>
          <w:numId w:val="1"/>
        </w:numPr>
        <w:spacing w:line="560" w:lineRule="exact"/>
        <w:ind w:firstLine="562" w:firstLineChars="200"/>
        <w:outlineLvl w:val="9"/>
        <w:rPr>
          <w:rFonts w:hint="eastAsia" w:ascii="楷体" w:hAnsi="楷体" w:eastAsia="楷体"/>
          <w:b/>
          <w:bCs/>
          <w:sz w:val="28"/>
          <w:szCs w:val="28"/>
          <w:lang w:eastAsia="zh-CN"/>
        </w:rPr>
      </w:pPr>
      <w:r>
        <w:rPr>
          <w:rFonts w:hint="eastAsia" w:ascii="楷体" w:hAnsi="楷体" w:eastAsia="楷体"/>
          <w:b/>
          <w:bCs/>
          <w:sz w:val="28"/>
          <w:szCs w:val="28"/>
          <w:lang w:eastAsia="zh-CN"/>
        </w:rPr>
        <w:t>深化产教证融合，助力乡村振兴</w:t>
      </w:r>
    </w:p>
    <w:p w14:paraId="6CCE06B0">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sz w:val="30"/>
          <w:szCs w:val="30"/>
          <w:lang w:val="en-US" w:eastAsia="zh-CN"/>
        </w:rPr>
      </w:pPr>
      <w:r>
        <w:rPr>
          <w:rFonts w:hint="eastAsia" w:ascii="仿宋" w:hAnsi="仿宋" w:eastAsia="仿宋"/>
          <w:sz w:val="30"/>
          <w:szCs w:val="30"/>
          <w:lang w:val="en-US" w:eastAsia="zh-CN"/>
        </w:rPr>
        <w:t>为打造乡村振兴“才溪样板”，上杭职专与上杭县住房和城乡建设局于2024年</w:t>
      </w:r>
      <w:r>
        <w:rPr>
          <w:rFonts w:hint="default" w:ascii="仿宋" w:hAnsi="仿宋" w:eastAsia="仿宋"/>
          <w:sz w:val="30"/>
          <w:szCs w:val="30"/>
          <w:lang w:val="en-US" w:eastAsia="zh-CN"/>
        </w:rPr>
        <w:t>1</w:t>
      </w:r>
      <w:r>
        <w:rPr>
          <w:rFonts w:hint="eastAsia" w:ascii="仿宋" w:hAnsi="仿宋" w:eastAsia="仿宋"/>
          <w:sz w:val="30"/>
          <w:szCs w:val="30"/>
          <w:lang w:val="en-US" w:eastAsia="zh-CN"/>
        </w:rPr>
        <w:t>月</w:t>
      </w:r>
      <w:r>
        <w:rPr>
          <w:rFonts w:hint="default" w:ascii="仿宋" w:hAnsi="仿宋" w:eastAsia="仿宋"/>
          <w:sz w:val="30"/>
          <w:szCs w:val="30"/>
          <w:lang w:val="en-US" w:eastAsia="zh-CN"/>
        </w:rPr>
        <w:t>26</w:t>
      </w:r>
      <w:r>
        <w:rPr>
          <w:rFonts w:hint="eastAsia" w:ascii="仿宋" w:hAnsi="仿宋" w:eastAsia="仿宋"/>
          <w:sz w:val="30"/>
          <w:szCs w:val="30"/>
          <w:lang w:val="en-US" w:eastAsia="zh-CN"/>
        </w:rPr>
        <w:t>日在现代职教中心一楼会议室召开了践行</w:t>
      </w:r>
      <w:r>
        <w:rPr>
          <w:rFonts w:hint="default" w:ascii="仿宋" w:hAnsi="仿宋" w:eastAsia="仿宋"/>
          <w:sz w:val="30"/>
          <w:szCs w:val="30"/>
          <w:lang w:val="en-US" w:eastAsia="zh-CN"/>
        </w:rPr>
        <w:t>“</w:t>
      </w:r>
      <w:r>
        <w:rPr>
          <w:rFonts w:hint="eastAsia" w:ascii="仿宋" w:hAnsi="仿宋" w:eastAsia="仿宋"/>
          <w:sz w:val="30"/>
          <w:szCs w:val="30"/>
          <w:lang w:val="en-US" w:eastAsia="zh-CN"/>
        </w:rPr>
        <w:t>六个共富</w:t>
      </w:r>
      <w:r>
        <w:rPr>
          <w:rFonts w:hint="default" w:ascii="仿宋" w:hAnsi="仿宋" w:eastAsia="仿宋"/>
          <w:sz w:val="30"/>
          <w:szCs w:val="30"/>
          <w:lang w:val="en-US" w:eastAsia="zh-CN"/>
        </w:rPr>
        <w:t>”</w:t>
      </w:r>
      <w:r>
        <w:rPr>
          <w:rFonts w:hint="eastAsia" w:ascii="仿宋" w:hAnsi="仿宋" w:eastAsia="仿宋"/>
          <w:sz w:val="30"/>
          <w:szCs w:val="30"/>
          <w:lang w:val="en-US" w:eastAsia="zh-CN"/>
        </w:rPr>
        <w:t>机制，打造乡村振兴“才溪样板”建筑企业共富论坛暨建筑人才培训推进会。</w:t>
      </w:r>
    </w:p>
    <w:p w14:paraId="6A150BCA">
      <w:pPr>
        <w:spacing w:line="580" w:lineRule="exact"/>
        <w:outlineLvl w:val="1"/>
        <w:rPr>
          <w:rFonts w:hint="eastAsia" w:ascii="仿宋_GB2312" w:hAnsi="Yu Mincho Light" w:eastAsia="仿宋_GB2312" w:cs="Yu Mincho Light"/>
          <w:b/>
          <w:bCs/>
          <w:sz w:val="32"/>
          <w:lang w:val="en-US" w:eastAsia="zh-CN"/>
        </w:rPr>
      </w:pPr>
      <w:bookmarkStart w:id="80" w:name="_Toc19338"/>
      <w:r>
        <w:rPr>
          <w:rFonts w:hint="eastAsia" w:ascii="仿宋_GB2312" w:hAnsi="Yu Mincho Light" w:eastAsia="仿宋_GB2312" w:cs="Yu Mincho Light"/>
          <w:b/>
          <w:bCs/>
          <w:sz w:val="32"/>
          <w:lang w:val="en-US" w:eastAsia="zh-CN"/>
        </w:rPr>
        <w:t>2.3双师共培</w:t>
      </w:r>
      <w:bookmarkEnd w:id="80"/>
    </w:p>
    <w:p w14:paraId="54725450">
      <w:pPr>
        <w:spacing w:line="580" w:lineRule="exact"/>
        <w:ind w:firstLine="643" w:firstLineChars="200"/>
        <w:outlineLvl w:val="2"/>
        <w:rPr>
          <w:rFonts w:hint="default" w:ascii="仿宋_GB2312" w:hAnsi="Yu Mincho Light" w:eastAsia="仿宋_GB2312" w:cs="Yu Mincho Light"/>
          <w:b/>
          <w:bCs/>
          <w:sz w:val="32"/>
          <w:lang w:val="en-US" w:eastAsia="zh-CN"/>
        </w:rPr>
      </w:pPr>
      <w:bookmarkStart w:id="81" w:name="_Toc28056"/>
      <w:r>
        <w:rPr>
          <w:rFonts w:hint="eastAsia" w:ascii="仿宋_GB2312" w:hAnsi="Yu Mincho Light" w:eastAsia="仿宋_GB2312" w:cs="Yu Mincho Light"/>
          <w:b/>
          <w:bCs/>
          <w:sz w:val="32"/>
          <w:lang w:val="en-US" w:eastAsia="zh-CN"/>
        </w:rPr>
        <w:t>2.3.1 双师队伍建设</w:t>
      </w:r>
      <w:bookmarkEnd w:id="81"/>
    </w:p>
    <w:p w14:paraId="6A6670F2">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学校创新构建“三维赋能·双轮驱动”协同培养模式，通过平台赋能（打造名师工作室、校中厂等成长载体）、实践赋能（实施“三阶递进式”企业实践机制）、资源赋能（整合实体与数字资源）破解山区资源瓶颈，以竞赛驱动（构建四级竞赛体系）、培训驱动（建立“校本研修+企业实战”双轨链）激活内生动力，形成“政-校-企-研”四位一体协同生态。</w:t>
      </w:r>
    </w:p>
    <w:p w14:paraId="09DBEBA5">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截至2025年8月，“双师型”教师占比达85%</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认定省级</w:t>
      </w:r>
      <w:r>
        <w:rPr>
          <w:rFonts w:hint="eastAsia" w:ascii="仿宋" w:hAnsi="仿宋" w:eastAsia="仿宋" w:cs="仿宋"/>
          <w:sz w:val="30"/>
          <w:szCs w:val="30"/>
        </w:rPr>
        <w:t>“双师型”教师8</w:t>
      </w:r>
      <w:r>
        <w:rPr>
          <w:rFonts w:hint="eastAsia" w:ascii="仿宋" w:hAnsi="仿宋" w:eastAsia="仿宋" w:cs="仿宋"/>
          <w:sz w:val="30"/>
          <w:szCs w:val="30"/>
          <w:lang w:val="en-US" w:eastAsia="zh-CN"/>
        </w:rPr>
        <w:t>9</w:t>
      </w:r>
      <w:r>
        <w:rPr>
          <w:rFonts w:hint="eastAsia" w:ascii="仿宋" w:hAnsi="仿宋" w:eastAsia="仿宋" w:cs="仿宋"/>
          <w:sz w:val="30"/>
          <w:szCs w:val="30"/>
        </w:rPr>
        <w:t>人；产教融合成效突出：与福建才溪建设集团等共建省级高水平专业化产教融合实训基地，教师企业实践覆盖率100%；实施“访问工程师”制度，骨干教师深入企业参与技术改造项目</w:t>
      </w:r>
      <w:r>
        <w:rPr>
          <w:rFonts w:hint="eastAsia" w:ascii="仿宋" w:hAnsi="仿宋" w:eastAsia="仿宋" w:cs="仿宋"/>
          <w:sz w:val="30"/>
          <w:szCs w:val="30"/>
          <w:lang w:eastAsia="zh-CN"/>
        </w:rPr>
        <w:t>，</w:t>
      </w:r>
      <w:r>
        <w:rPr>
          <w:rFonts w:hint="eastAsia" w:ascii="仿宋" w:hAnsi="仿宋" w:eastAsia="仿宋" w:cs="仿宋"/>
          <w:sz w:val="30"/>
          <w:szCs w:val="30"/>
        </w:rPr>
        <w:t>组建跨专业技术服务团队对接山区产业需求，推动课程与行业技术同步更新。</w:t>
      </w:r>
    </w:p>
    <w:p w14:paraId="2EA126FF">
      <w:pPr>
        <w:ind w:firstLine="602" w:firstLineChars="200"/>
        <w:outlineLvl w:val="2"/>
        <w:rPr>
          <w:rFonts w:hint="eastAsia" w:ascii="仿宋" w:hAnsi="仿宋" w:eastAsia="仿宋" w:cs="仿宋"/>
          <w:b/>
          <w:bCs/>
          <w:sz w:val="30"/>
          <w:szCs w:val="30"/>
          <w:lang w:val="en-US" w:eastAsia="zh-CN"/>
        </w:rPr>
      </w:pPr>
      <w:bookmarkStart w:id="82" w:name="_Toc17021"/>
      <w:r>
        <w:rPr>
          <w:rFonts w:hint="eastAsia" w:ascii="仿宋" w:hAnsi="仿宋" w:eastAsia="仿宋" w:cs="仿宋"/>
          <w:b/>
          <w:bCs/>
          <w:sz w:val="30"/>
          <w:szCs w:val="30"/>
          <w:lang w:val="en-US" w:eastAsia="zh-CN"/>
        </w:rPr>
        <w:t>2.3.2教师学历提升成果丰硕</w:t>
      </w:r>
      <w:bookmarkEnd w:id="82"/>
    </w:p>
    <w:p w14:paraId="11813AA6">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学校持续推进学历提升工程，2025年专任教师中具有研究生学历的共20人，其中</w:t>
      </w:r>
      <w:r>
        <w:rPr>
          <w:rFonts w:hint="eastAsia" w:ascii="仿宋" w:hAnsi="仿宋" w:eastAsia="仿宋" w:cs="仿宋"/>
          <w:sz w:val="30"/>
          <w:szCs w:val="30"/>
          <w:lang w:val="en-US" w:eastAsia="zh-CN"/>
        </w:rPr>
        <w:t>1人</w:t>
      </w:r>
      <w:r>
        <w:rPr>
          <w:rFonts w:hint="eastAsia" w:ascii="仿宋" w:hAnsi="仿宋" w:eastAsia="仿宋" w:cs="仿宋"/>
          <w:sz w:val="30"/>
          <w:szCs w:val="30"/>
        </w:rPr>
        <w:t>博士在读</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4人</w:t>
      </w:r>
      <w:r>
        <w:rPr>
          <w:rFonts w:hint="eastAsia" w:ascii="仿宋" w:hAnsi="仿宋" w:eastAsia="仿宋" w:cs="仿宋"/>
          <w:sz w:val="30"/>
          <w:szCs w:val="30"/>
        </w:rPr>
        <w:t>硕士在读</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15人已获</w:t>
      </w:r>
      <w:r>
        <w:rPr>
          <w:rFonts w:hint="eastAsia" w:ascii="仿宋" w:hAnsi="仿宋" w:eastAsia="仿宋" w:cs="仿宋"/>
          <w:sz w:val="30"/>
          <w:szCs w:val="30"/>
        </w:rPr>
        <w:t>研究生学历。通过制定《学历提升方案》《高层次人才引进办法》，专任教师研究生比例</w:t>
      </w:r>
      <w:r>
        <w:rPr>
          <w:rFonts w:hint="eastAsia" w:ascii="仿宋" w:hAnsi="仿宋" w:eastAsia="仿宋" w:cs="仿宋"/>
          <w:sz w:val="30"/>
          <w:szCs w:val="30"/>
          <w:lang w:eastAsia="zh-CN"/>
        </w:rPr>
        <w:t>大幅提升</w:t>
      </w:r>
      <w:r>
        <w:rPr>
          <w:rFonts w:hint="eastAsia" w:ascii="仿宋" w:hAnsi="仿宋" w:eastAsia="仿宋" w:cs="仿宋"/>
          <w:sz w:val="30"/>
          <w:szCs w:val="30"/>
        </w:rPr>
        <w:t>，优化了教师队伍学历结构。</w:t>
      </w:r>
      <w:r>
        <w:rPr>
          <w:rFonts w:hint="eastAsia" w:ascii="仿宋" w:hAnsi="仿宋" w:eastAsia="仿宋" w:cs="仿宋"/>
          <w:sz w:val="30"/>
          <w:szCs w:val="30"/>
          <w:lang w:val="en-US" w:eastAsia="zh-CN"/>
        </w:rPr>
        <w:t xml:space="preserve">                                                                                                     </w:t>
      </w:r>
    </w:p>
    <w:p w14:paraId="393FE408">
      <w:pPr>
        <w:ind w:firstLine="602" w:firstLineChars="200"/>
        <w:outlineLvl w:val="2"/>
        <w:rPr>
          <w:rFonts w:hint="eastAsia" w:ascii="仿宋" w:hAnsi="仿宋" w:eastAsia="仿宋" w:cs="仿宋"/>
          <w:sz w:val="30"/>
          <w:szCs w:val="30"/>
        </w:rPr>
      </w:pPr>
      <w:bookmarkStart w:id="83" w:name="_Toc2388"/>
      <w:r>
        <w:rPr>
          <w:rFonts w:hint="eastAsia" w:ascii="仿宋" w:hAnsi="仿宋" w:eastAsia="仿宋" w:cs="仿宋"/>
          <w:b/>
          <w:bCs/>
          <w:sz w:val="30"/>
          <w:szCs w:val="30"/>
          <w:lang w:val="en-US" w:eastAsia="zh-CN"/>
        </w:rPr>
        <w:t>2.3.3名师培养梯队建设扎实推进</w:t>
      </w:r>
      <w:bookmarkEnd w:id="83"/>
    </w:p>
    <w:p w14:paraId="5F4EF1A6">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学校强化名师引领与梯队建设</w:t>
      </w:r>
      <w:r>
        <w:rPr>
          <w:rFonts w:hint="eastAsia" w:ascii="仿宋" w:hAnsi="仿宋" w:eastAsia="仿宋" w:cs="仿宋"/>
          <w:sz w:val="30"/>
          <w:szCs w:val="30"/>
          <w:lang w:eastAsia="zh-CN"/>
        </w:rPr>
        <w:t>。</w:t>
      </w:r>
      <w:r>
        <w:rPr>
          <w:rFonts w:hint="eastAsia" w:ascii="仿宋" w:hAnsi="仿宋" w:eastAsia="仿宋" w:cs="仿宋"/>
          <w:sz w:val="30"/>
          <w:szCs w:val="30"/>
        </w:rPr>
        <w:t>工作室建设：建成市级“名师工作室”</w:t>
      </w:r>
      <w:r>
        <w:rPr>
          <w:rFonts w:hint="eastAsia" w:ascii="仿宋" w:hAnsi="仿宋" w:eastAsia="仿宋" w:cs="仿宋"/>
          <w:sz w:val="30"/>
          <w:szCs w:val="30"/>
          <w:lang w:val="en-US" w:eastAsia="zh-CN"/>
        </w:rPr>
        <w:t>1</w:t>
      </w:r>
      <w:r>
        <w:rPr>
          <w:rFonts w:hint="eastAsia" w:ascii="仿宋" w:hAnsi="仿宋" w:eastAsia="仿宋" w:cs="仿宋"/>
          <w:sz w:val="30"/>
          <w:szCs w:val="30"/>
        </w:rPr>
        <w:t>个（李静静市级名师工作室）、“技能大师工作室”</w:t>
      </w:r>
      <w:r>
        <w:rPr>
          <w:rFonts w:hint="eastAsia" w:ascii="仿宋" w:hAnsi="仿宋" w:eastAsia="仿宋" w:cs="仿宋"/>
          <w:sz w:val="30"/>
          <w:szCs w:val="30"/>
          <w:lang w:val="en-US" w:eastAsia="zh-CN"/>
        </w:rPr>
        <w:t>1</w:t>
      </w:r>
      <w:r>
        <w:rPr>
          <w:rFonts w:hint="eastAsia" w:ascii="仿宋" w:hAnsi="仿宋" w:eastAsia="仿宋" w:cs="仿宋"/>
          <w:sz w:val="30"/>
          <w:szCs w:val="30"/>
        </w:rPr>
        <w:t>个、省级名班主任工作室2个</w:t>
      </w:r>
      <w:r>
        <w:rPr>
          <w:rFonts w:hint="eastAsia" w:ascii="仿宋" w:hAnsi="仿宋" w:eastAsia="仿宋" w:cs="仿宋"/>
          <w:sz w:val="30"/>
          <w:szCs w:val="30"/>
          <w:lang w:eastAsia="zh-CN"/>
        </w:rPr>
        <w:t>。</w:t>
      </w:r>
      <w:r>
        <w:rPr>
          <w:rFonts w:hint="eastAsia" w:ascii="仿宋" w:hAnsi="仿宋" w:eastAsia="仿宋" w:cs="仿宋"/>
          <w:sz w:val="30"/>
          <w:szCs w:val="30"/>
        </w:rPr>
        <w:t>梯队培养：实施“名师领航计划”，形成“1+2+5”模式（1名名师领衔、2名骨干协同、5名青年教师参与），年均孵化骨干教师2人；培训与成果：2025年工作室成员主持省级课题</w:t>
      </w:r>
      <w:r>
        <w:rPr>
          <w:rFonts w:hint="eastAsia" w:ascii="仿宋" w:hAnsi="仿宋" w:eastAsia="仿宋" w:cs="仿宋"/>
          <w:sz w:val="30"/>
          <w:szCs w:val="30"/>
          <w:lang w:val="en-US" w:eastAsia="zh-CN"/>
        </w:rPr>
        <w:t>1</w:t>
      </w:r>
      <w:r>
        <w:rPr>
          <w:rFonts w:hint="eastAsia" w:ascii="仿宋" w:hAnsi="仿宋" w:eastAsia="仿宋" w:cs="仿宋"/>
          <w:sz w:val="30"/>
          <w:szCs w:val="30"/>
        </w:rPr>
        <w:t>项，开发《装配式建筑施工技术》等校本教材，有效发挥辐射带动作用。</w:t>
      </w:r>
    </w:p>
    <w:p w14:paraId="0061D346">
      <w:pPr>
        <w:ind w:firstLine="602"/>
        <w:outlineLvl w:val="2"/>
        <w:rPr>
          <w:rFonts w:hint="default" w:ascii="仿宋" w:hAnsi="仿宋" w:eastAsia="仿宋" w:cs="仿宋"/>
          <w:b/>
          <w:bCs/>
          <w:kern w:val="2"/>
          <w:sz w:val="30"/>
          <w:szCs w:val="30"/>
          <w:lang w:val="en-US" w:eastAsia="zh-CN" w:bidi="ar-SA"/>
        </w:rPr>
      </w:pPr>
      <w:bookmarkStart w:id="84" w:name="_Toc16426"/>
      <w:r>
        <w:rPr>
          <w:rFonts w:hint="eastAsia" w:ascii="仿宋" w:hAnsi="仿宋" w:eastAsia="仿宋" w:cs="仿宋"/>
          <w:b/>
          <w:bCs/>
          <w:kern w:val="2"/>
          <w:sz w:val="30"/>
          <w:szCs w:val="30"/>
          <w:lang w:val="en-US" w:eastAsia="zh-CN" w:bidi="ar-SA"/>
        </w:rPr>
        <w:t>2.3.4 典型案例3</w:t>
      </w:r>
      <w:bookmarkEnd w:id="84"/>
    </w:p>
    <w:p w14:paraId="65E88A96">
      <w:pPr>
        <w:pStyle w:val="27"/>
        <w:bidi w:val="0"/>
        <w:spacing w:line="360" w:lineRule="auto"/>
        <w:jc w:val="center"/>
        <w:rPr>
          <w:rFonts w:hint="eastAsia"/>
          <w:sz w:val="36"/>
          <w:szCs w:val="21"/>
          <w:lang w:val="en-US" w:eastAsia="zh-CN"/>
        </w:rPr>
      </w:pPr>
      <w:bookmarkStart w:id="85" w:name="_Toc9664"/>
      <w:bookmarkStart w:id="86" w:name="_Toc8921"/>
      <w:r>
        <w:rPr>
          <w:rFonts w:hint="eastAsia"/>
          <w:sz w:val="36"/>
          <w:szCs w:val="21"/>
          <w:lang w:val="en-US" w:eastAsia="zh-CN"/>
        </w:rPr>
        <w:t>“三维赋能·双轮驱动”县域中职“双师型”教师培养协同生态构建</w:t>
      </w:r>
      <w:bookmarkEnd w:id="85"/>
      <w:bookmarkEnd w:id="86"/>
    </w:p>
    <w:p w14:paraId="47FBB5D0">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一、主要做法</w:t>
      </w:r>
    </w:p>
    <w:p w14:paraId="18460B7E">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（一）三维赋能：构建山区职教教师培养支撑体系</w:t>
      </w:r>
    </w:p>
    <w:p w14:paraId="0E33BE28">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1. 平台赋能：打造立体化教师成长载体</w:t>
      </w:r>
    </w:p>
    <w:p w14:paraId="2B63901B">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投入专项建设资金，建成省级名班主任工作室2个，以及市级“劳模工作室”1个、“名师工作室”2个、“技能大师工作室”2个。</w:t>
      </w:r>
    </w:p>
    <w:p w14:paraId="2A29B207">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实施“名师领航计划”，形成“1+2+5”梯队培养模式，年均孵化骨干教师2人，工作室成员主持省级课题2项，开发校本教材5部。</w:t>
      </w:r>
    </w:p>
    <w:p w14:paraId="412DEB16">
      <w:pPr>
        <w:outlineLvl w:val="9"/>
        <w:rPr>
          <w:rFonts w:hint="eastAsia"/>
          <w:lang w:val="en-US" w:eastAsia="zh-CN"/>
        </w:rPr>
      </w:pPr>
      <w:r>
        <w:rPr>
          <w:rFonts w:hint="eastAsia"/>
          <w:lang w:val="en-US" w:eastAsia="zh-CN"/>
        </w:rPr>
        <w:drawing>
          <wp:inline distT="0" distB="0" distL="114300" distR="114300">
            <wp:extent cx="5234940" cy="3876040"/>
            <wp:effectExtent l="0" t="0" r="3810" b="10160"/>
            <wp:docPr id="79" name="图片 79" descr="571018d1ec26b4bb24189f39e6d47c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571018d1ec26b4bb24189f39e6d47c75"/>
                    <pic:cNvPicPr>
                      <a:picLocks noChangeAspect="1"/>
                    </pic:cNvPicPr>
                  </pic:nvPicPr>
                  <pic:blipFill>
                    <a:blip r:embed="rId52"/>
                    <a:stretch>
                      <a:fillRect/>
                    </a:stretch>
                  </pic:blipFill>
                  <pic:spPr>
                    <a:xfrm>
                      <a:off x="0" y="0"/>
                      <a:ext cx="5234940" cy="3876040"/>
                    </a:xfrm>
                    <a:prstGeom prst="rect">
                      <a:avLst/>
                    </a:prstGeom>
                  </pic:spPr>
                </pic:pic>
              </a:graphicData>
            </a:graphic>
          </wp:inline>
        </w:drawing>
      </w:r>
    </w:p>
    <w:p w14:paraId="23259B1D">
      <w:pPr>
        <w:pStyle w:val="24"/>
        <w:bidi w:val="0"/>
        <w:rPr>
          <w:rFonts w:hint="eastAsia"/>
          <w:lang w:val="en-US" w:eastAsia="zh-CN"/>
        </w:rPr>
      </w:pPr>
      <w:bookmarkStart w:id="87" w:name="_Toc23777"/>
      <w:r>
        <w:rPr>
          <w:rFonts w:hint="eastAsia"/>
          <w:lang w:val="en-US" w:eastAsia="zh-CN"/>
        </w:rPr>
        <w:t>图34 名师工作室</w:t>
      </w:r>
      <w:bookmarkEnd w:id="87"/>
    </w:p>
    <w:p w14:paraId="750CD900">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2. 实践赋能：构建阶梯式能力提升路径</w:t>
      </w:r>
    </w:p>
    <w:p w14:paraId="540C77E8">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初级（观察学习）：每学期安排教师完成40课时企业观摩，形成《山区企业岗位能力分析报告》。</w:t>
      </w:r>
    </w:p>
    <w:p w14:paraId="3188DEF5">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中级（深度参与）：实施“访问工程师”项目，骨干教师寒暑假深入企业实践2个月，参与技术项目。</w:t>
      </w:r>
    </w:p>
    <w:p w14:paraId="310A7976">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高级（技术引领）：组建跨专业技术服务团队，对接产业需求，推动课程与行业技术同步更新。</w:t>
      </w:r>
    </w:p>
    <w:p w14:paraId="75AD6A8C">
      <w:pPr>
        <w:outlineLvl w:val="9"/>
        <w:rPr>
          <w:rFonts w:hint="eastAsia"/>
          <w:lang w:val="en-US" w:eastAsia="zh-CN"/>
        </w:rPr>
      </w:pPr>
      <w:r>
        <w:rPr>
          <w:rFonts w:hint="eastAsia"/>
          <w:lang w:val="en-US" w:eastAsia="zh-CN"/>
        </w:rPr>
        <w:drawing>
          <wp:inline distT="0" distB="0" distL="114300" distR="114300">
            <wp:extent cx="5233670" cy="4132580"/>
            <wp:effectExtent l="0" t="0" r="5080" b="1270"/>
            <wp:docPr id="80" name="图片 80" descr="b3b8c6643ef204bb5628b42a6d0237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b3b8c6643ef204bb5628b42a6d0237c4"/>
                    <pic:cNvPicPr>
                      <a:picLocks noChangeAspect="1"/>
                    </pic:cNvPicPr>
                  </pic:nvPicPr>
                  <pic:blipFill>
                    <a:blip r:embed="rId53"/>
                    <a:stretch>
                      <a:fillRect/>
                    </a:stretch>
                  </pic:blipFill>
                  <pic:spPr>
                    <a:xfrm>
                      <a:off x="0" y="0"/>
                      <a:ext cx="5233670" cy="4132580"/>
                    </a:xfrm>
                    <a:prstGeom prst="rect">
                      <a:avLst/>
                    </a:prstGeom>
                  </pic:spPr>
                </pic:pic>
              </a:graphicData>
            </a:graphic>
          </wp:inline>
        </w:drawing>
      </w:r>
    </w:p>
    <w:p w14:paraId="4A46F698">
      <w:pPr>
        <w:pStyle w:val="24"/>
        <w:bidi w:val="0"/>
        <w:rPr>
          <w:rFonts w:hint="eastAsia"/>
          <w:lang w:val="en-US" w:eastAsia="zh-CN"/>
        </w:rPr>
      </w:pPr>
      <w:bookmarkStart w:id="88" w:name="_Toc20117"/>
      <w:r>
        <w:rPr>
          <w:rFonts w:hint="eastAsia"/>
          <w:lang w:val="en-US" w:eastAsia="zh-CN"/>
        </w:rPr>
        <w:t>图35 我校教师被企业聘为高级技术顾问</w:t>
      </w:r>
      <w:bookmarkEnd w:id="88"/>
    </w:p>
    <w:p w14:paraId="3C36AFBF">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3. 资源赋能：构建虚实融合的教学生态</w:t>
      </w:r>
    </w:p>
    <w:p w14:paraId="1CE9474B">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实体资源：共建省级示范性虚拟仿真实训基地和工程材料检测产教融合实训基地，年均培训学生800人次。</w:t>
      </w:r>
    </w:p>
    <w:p w14:paraId="4F0CDE6F">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数字资源：开发活页式教材5部，建设VR资源库，实现“一课一场景”，学生实操能力提升率达40%。</w:t>
      </w:r>
    </w:p>
    <w:p w14:paraId="4DAA0F31">
      <w:pPr>
        <w:outlineLvl w:val="9"/>
        <w:rPr>
          <w:rFonts w:hint="eastAsia"/>
          <w:lang w:val="en-US" w:eastAsia="zh-CN"/>
        </w:rPr>
      </w:pPr>
      <w:r>
        <w:rPr>
          <w:rFonts w:hint="eastAsia"/>
          <w:lang w:val="en-US" w:eastAsia="zh-CN"/>
        </w:rPr>
        <w:drawing>
          <wp:inline distT="0" distB="0" distL="114300" distR="114300">
            <wp:extent cx="5234940" cy="3189605"/>
            <wp:effectExtent l="0" t="0" r="3810" b="10795"/>
            <wp:docPr id="81" name="图片 81" descr="36e004acc3fc84f98e3bacf6dbca1b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36e004acc3fc84f98e3bacf6dbca1b27"/>
                    <pic:cNvPicPr>
                      <a:picLocks noChangeAspect="1"/>
                    </pic:cNvPicPr>
                  </pic:nvPicPr>
                  <pic:blipFill>
                    <a:blip r:embed="rId54"/>
                    <a:stretch>
                      <a:fillRect/>
                    </a:stretch>
                  </pic:blipFill>
                  <pic:spPr>
                    <a:xfrm>
                      <a:off x="0" y="0"/>
                      <a:ext cx="5234940" cy="3189605"/>
                    </a:xfrm>
                    <a:prstGeom prst="rect">
                      <a:avLst/>
                    </a:prstGeom>
                  </pic:spPr>
                </pic:pic>
              </a:graphicData>
            </a:graphic>
          </wp:inline>
        </w:drawing>
      </w:r>
    </w:p>
    <w:p w14:paraId="6620B797">
      <w:pPr>
        <w:pStyle w:val="24"/>
        <w:bidi w:val="0"/>
        <w:rPr>
          <w:rFonts w:hint="eastAsia"/>
          <w:lang w:val="en-US" w:eastAsia="zh-CN"/>
        </w:rPr>
      </w:pPr>
      <w:bookmarkStart w:id="89" w:name="_Toc22077"/>
      <w:r>
        <w:rPr>
          <w:rFonts w:hint="eastAsia"/>
          <w:lang w:val="en-US" w:eastAsia="zh-CN"/>
        </w:rPr>
        <w:t>图36 构建虚实融合的教学生态</w:t>
      </w:r>
      <w:bookmarkEnd w:id="89"/>
    </w:p>
    <w:p w14:paraId="3F26D4AC">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（二）双轮驱动：激活教师能力迭代内生动力</w:t>
      </w:r>
    </w:p>
    <w:p w14:paraId="61A10F03">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1. 竞赛驱动：构建全链条竞赛育人体系</w:t>
      </w:r>
    </w:p>
    <w:p w14:paraId="75ED62F6">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建立“校-市-省-国”四级竞赛体系，实施项目化运作、过程化督导、成果化应用。</w:t>
      </w:r>
    </w:p>
    <w:p w14:paraId="2CB38151">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近两年教师在省级教学能力大赛中获奖15项，竞赛成果直接转化为教学资源。</w:t>
      </w:r>
    </w:p>
    <w:p w14:paraId="34C6C89C">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2. 培训驱动：打造精准化能力提升通道</w:t>
      </w:r>
    </w:p>
    <w:p w14:paraId="41168109">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构建“校本研修+企业实战+高校进修”三渠道，年均开展高校专家讲座13场，选派教师进修108人次。</w:t>
      </w:r>
    </w:p>
    <w:p w14:paraId="7F0F418D">
      <w:pPr>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 xml:space="preserve">   设计“新教师-骨干教师-名师”三阶段路径，实施“工作坊+师徒制+项目制”组合培训。</w:t>
      </w:r>
    </w:p>
    <w:p w14:paraId="5A56EB95">
      <w:pPr>
        <w:ind w:firstLine="300" w:firstLineChars="1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（三）协同生态：政-校-企-研四位一体联动</w:t>
      </w:r>
    </w:p>
    <w:p w14:paraId="756D3D05">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1. 政策协同：争取教育局出台“1+3”政策体系，将企业实践纳入绩效考核，配套专项经费与职称倾斜。</w:t>
      </w:r>
    </w:p>
    <w:p w14:paraId="5FDA1F6C">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2. 校企协同：与福建才溪建设集团共建“建筑产业学院”，年均联合培养技能人才200人；推行“校中厂”模式，学生中级工认证率达95%。</w:t>
      </w:r>
    </w:p>
    <w:p w14:paraId="420CDBEE">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3. 研用协同：近三年立项省级以上课题9项，发表CN论文77篇，研究成果直接应用于教学，辐射闽西5所中职学校。</w:t>
      </w:r>
    </w:p>
    <w:p w14:paraId="0D71A99B">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二、成果成效</w:t>
      </w:r>
    </w:p>
    <w:p w14:paraId="31CA1664">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师队伍提质：“双师型”教师比例从52%提升至85%，39人次获市级以上表彰，主持省级课题35项。</w:t>
      </w:r>
    </w:p>
    <w:p w14:paraId="2E7438C4">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教学改革突破：开发校本教材14部，获批省级课程思政示范课程，教师获全国教学能力大赛二等奖。</w:t>
      </w:r>
    </w:p>
    <w:p w14:paraId="212DD89C">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产教协同增效：共建2个省级实训基地，年均培训企业员工2000人次，输送技能人才500人/年。</w:t>
      </w:r>
    </w:p>
    <w:p w14:paraId="22E70EC8">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学生成长显著：学生获国赛二等奖2项，职教高考本科上线率连续三年达7.5%（全省均值2%）。</w:t>
      </w:r>
    </w:p>
    <w:p w14:paraId="7C7DC750">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乡村振兴贡献：累计培训农民6682人，推荐近500名高素质农民接受大专学历教育，助力上杭县入选“全国乡村振兴示范县”。</w:t>
      </w:r>
    </w:p>
    <w:p w14:paraId="1569ED88">
      <w:pPr>
        <w:ind w:firstLine="600" w:firstLineChars="200"/>
        <w:outlineLvl w:val="9"/>
        <w:rPr>
          <w:rFonts w:hint="eastAsia"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三、经验启示</w:t>
      </w:r>
    </w:p>
    <w:p w14:paraId="7FF15A5D">
      <w:pPr>
        <w:ind w:firstLine="600" w:firstLineChars="200"/>
        <w:outlineLvl w:val="9"/>
        <w:rPr>
          <w:rFonts w:hint="default" w:ascii="仿宋" w:hAnsi="仿宋" w:eastAsia="仿宋" w:cs="仿宋"/>
          <w:b w:val="0"/>
          <w:bCs w:val="0"/>
          <w:kern w:val="2"/>
          <w:sz w:val="30"/>
          <w:szCs w:val="30"/>
          <w:lang w:val="en-US" w:eastAsia="zh-CN" w:bidi="ar-SA"/>
        </w:rPr>
      </w:pPr>
      <w:r>
        <w:rPr>
          <w:rFonts w:hint="eastAsia" w:ascii="仿宋" w:hAnsi="仿宋" w:eastAsia="仿宋" w:cs="仿宋"/>
          <w:b w:val="0"/>
          <w:bCs w:val="0"/>
          <w:kern w:val="2"/>
          <w:sz w:val="30"/>
          <w:szCs w:val="30"/>
          <w:lang w:val="en-US" w:eastAsia="zh-CN" w:bidi="ar-SA"/>
        </w:rPr>
        <w:t>本模式通过“三维赋能”破解资源瓶颈，以“双轮驱动”激活教师内力，构建“政-校-企-研”协同生态，形成“培养-竞赛-实践-辐射”闭环，为山区县域中职学校“双师型”教师培养与产教融合提供了可复制的系统解决方案。适用于产业分散、人才外流的县域职教场景，具有较强推广价值。</w:t>
      </w:r>
    </w:p>
    <w:p w14:paraId="6E36A072">
      <w:pPr>
        <w:widowControl/>
        <w:jc w:val="left"/>
        <w:outlineLvl w:val="2"/>
        <w:rPr>
          <w:rFonts w:hint="default" w:ascii="仿宋" w:hAnsi="仿宋" w:eastAsia="仿宋"/>
          <w:b/>
          <w:bCs/>
          <w:sz w:val="30"/>
          <w:szCs w:val="30"/>
          <w:lang w:val="en-US" w:eastAsia="zh-CN"/>
        </w:rPr>
      </w:pPr>
      <w:r>
        <w:rPr>
          <w:rFonts w:hint="eastAsia" w:ascii="仿宋" w:hAnsi="仿宋" w:eastAsia="仿宋"/>
          <w:sz w:val="30"/>
          <w:szCs w:val="30"/>
          <w:lang w:val="en-US" w:eastAsia="zh-CN"/>
        </w:rPr>
        <w:t xml:space="preserve">     </w:t>
      </w:r>
      <w:bookmarkStart w:id="90" w:name="_Toc4646"/>
      <w:r>
        <w:rPr>
          <w:rFonts w:hint="eastAsia" w:ascii="仿宋" w:hAnsi="仿宋" w:eastAsia="仿宋"/>
          <w:b/>
          <w:bCs/>
          <w:sz w:val="30"/>
          <w:szCs w:val="30"/>
          <w:lang w:val="en-US" w:eastAsia="zh-CN"/>
        </w:rPr>
        <w:t>2.3.5 校企互兼互聘</w:t>
      </w:r>
      <w:bookmarkEnd w:id="90"/>
    </w:p>
    <w:p w14:paraId="30469B05">
      <w:pPr>
        <w:widowControl/>
        <w:ind w:firstLine="600" w:firstLineChars="200"/>
        <w:jc w:val="left"/>
        <w:outlineLvl w:val="9"/>
        <w:rPr>
          <w:rFonts w:hint="eastAsia" w:ascii="仿宋" w:hAnsi="仿宋" w:eastAsia="仿宋"/>
          <w:sz w:val="30"/>
          <w:szCs w:val="30"/>
        </w:rPr>
      </w:pPr>
      <w:r>
        <w:rPr>
          <w:rFonts w:hint="eastAsia" w:ascii="仿宋" w:hAnsi="仿宋" w:eastAsia="仿宋"/>
          <w:sz w:val="30"/>
          <w:szCs w:val="30"/>
        </w:rPr>
        <w:t>通过引起入校实施专兼职教师 AB 角制度，聘请实训基地专业技术人员为基地导师，由企业生产一线专业技术人员组成的导师团队担任学生专业实习实训指导教师。通过校企互评互聘，参与企业生产，提高专业教师实践技能和专业生产能力。</w:t>
      </w:r>
    </w:p>
    <w:p w14:paraId="1BE94295">
      <w:pPr>
        <w:pStyle w:val="17"/>
        <w:spacing w:before="0" w:beforeAutospacing="0" w:after="0" w:afterAutospacing="0" w:line="580" w:lineRule="exact"/>
        <w:outlineLvl w:val="0"/>
        <w:rPr>
          <w:rFonts w:hint="eastAsia" w:ascii="黑体" w:hAnsi="黑体" w:eastAsia="黑体"/>
          <w:b/>
          <w:bCs/>
          <w:color w:val="000000"/>
          <w:sz w:val="32"/>
          <w:szCs w:val="32"/>
          <w:shd w:val="clear" w:color="auto" w:fill="FFFFFF"/>
        </w:rPr>
      </w:pPr>
      <w:bookmarkStart w:id="91" w:name="_Toc814"/>
      <w:r>
        <w:rPr>
          <w:rFonts w:hint="eastAsia" w:ascii="黑体" w:hAnsi="黑体" w:eastAsia="黑体"/>
          <w:b/>
          <w:bCs/>
          <w:color w:val="000000"/>
          <w:sz w:val="32"/>
          <w:szCs w:val="32"/>
          <w:shd w:val="clear" w:color="auto" w:fill="FFFFFF"/>
          <w:lang w:val="en-US" w:eastAsia="zh-CN"/>
        </w:rPr>
        <w:t xml:space="preserve">3 </w:t>
      </w:r>
      <w:r>
        <w:rPr>
          <w:rFonts w:hint="eastAsia" w:ascii="黑体" w:hAnsi="黑体" w:eastAsia="黑体"/>
          <w:b/>
          <w:bCs/>
          <w:color w:val="000000"/>
          <w:sz w:val="32"/>
          <w:szCs w:val="32"/>
          <w:shd w:val="clear" w:color="auto" w:fill="FFFFFF"/>
        </w:rPr>
        <w:t>服务贡献</w:t>
      </w:r>
      <w:bookmarkEnd w:id="91"/>
    </w:p>
    <w:p w14:paraId="45248C9D">
      <w:pPr>
        <w:pStyle w:val="17"/>
        <w:spacing w:before="0" w:beforeAutospacing="0" w:after="0" w:afterAutospacing="0" w:line="580" w:lineRule="exact"/>
        <w:outlineLvl w:val="1"/>
        <w:rPr>
          <w:rFonts w:hint="eastAsia" w:ascii="黑体" w:hAnsi="黑体" w:eastAsia="黑体"/>
          <w:b/>
          <w:bCs/>
          <w:color w:val="000000"/>
          <w:sz w:val="32"/>
          <w:szCs w:val="32"/>
          <w:shd w:val="clear" w:color="auto" w:fill="FFFFFF"/>
          <w:lang w:val="en-US" w:eastAsia="zh-CN"/>
        </w:rPr>
      </w:pPr>
      <w:bookmarkStart w:id="92" w:name="_Toc9309"/>
      <w:r>
        <w:rPr>
          <w:rFonts w:hint="eastAsia" w:ascii="黑体" w:hAnsi="黑体" w:eastAsia="黑体"/>
          <w:b/>
          <w:bCs/>
          <w:color w:val="000000"/>
          <w:sz w:val="32"/>
          <w:szCs w:val="32"/>
          <w:shd w:val="clear" w:color="auto" w:fill="FFFFFF"/>
          <w:lang w:val="en-US" w:eastAsia="zh-CN"/>
        </w:rPr>
        <w:t>3.1人才输送</w:t>
      </w:r>
      <w:bookmarkEnd w:id="92"/>
    </w:p>
    <w:p w14:paraId="7B1770A6">
      <w:pPr>
        <w:pStyle w:val="17"/>
        <w:spacing w:before="0" w:beforeAutospacing="0" w:after="0" w:afterAutospacing="0" w:line="580" w:lineRule="exact"/>
        <w:outlineLvl w:val="2"/>
        <w:rPr>
          <w:rFonts w:hint="eastAsia" w:ascii="仿宋" w:hAnsi="仿宋" w:eastAsia="仿宋" w:cs="仿宋"/>
          <w:b/>
          <w:bCs/>
          <w:color w:val="000000"/>
          <w:sz w:val="32"/>
          <w:szCs w:val="32"/>
          <w:shd w:val="clear" w:color="auto" w:fill="FFFFFF"/>
          <w:lang w:val="en-US" w:eastAsia="zh-CN"/>
        </w:rPr>
      </w:pPr>
      <w:r>
        <w:rPr>
          <w:rFonts w:hint="eastAsia" w:ascii="黑体" w:hAnsi="黑体" w:eastAsia="黑体"/>
          <w:b/>
          <w:bCs/>
          <w:color w:val="000000"/>
          <w:sz w:val="32"/>
          <w:szCs w:val="32"/>
          <w:shd w:val="clear" w:color="auto" w:fill="FFFFFF"/>
          <w:lang w:val="en-US" w:eastAsia="zh-CN"/>
        </w:rPr>
        <w:t xml:space="preserve">    </w:t>
      </w:r>
      <w:bookmarkStart w:id="93" w:name="_Toc24368"/>
      <w:r>
        <w:rPr>
          <w:rFonts w:hint="eastAsia" w:ascii="仿宋" w:hAnsi="仿宋" w:eastAsia="仿宋" w:cs="仿宋"/>
          <w:b/>
          <w:bCs/>
          <w:color w:val="000000"/>
          <w:sz w:val="32"/>
          <w:szCs w:val="32"/>
          <w:shd w:val="clear" w:color="auto" w:fill="FFFFFF"/>
          <w:lang w:val="en-US" w:eastAsia="zh-CN"/>
        </w:rPr>
        <w:t>3.1.1 服务新质生产力</w:t>
      </w:r>
      <w:bookmarkEnd w:id="93"/>
    </w:p>
    <w:p w14:paraId="70411DD4">
      <w:pPr>
        <w:ind w:firstLine="600" w:firstLineChars="200"/>
        <w:outlineLvl w:val="9"/>
        <w:rPr>
          <w:rFonts w:hint="eastAsia" w:ascii="仿宋" w:hAnsi="仿宋" w:eastAsia="仿宋" w:cs="仿宋"/>
          <w:sz w:val="30"/>
          <w:szCs w:val="30"/>
          <w:lang w:eastAsia="zh-CN"/>
        </w:rPr>
      </w:pPr>
      <w:r>
        <w:rPr>
          <w:rFonts w:hint="eastAsia" w:ascii="仿宋" w:hAnsi="仿宋" w:eastAsia="仿宋" w:cs="仿宋"/>
          <w:sz w:val="30"/>
          <w:szCs w:val="30"/>
          <w:lang w:eastAsia="zh-CN"/>
        </w:rPr>
        <w:t>为深化职业教育服务地方经济发展的职能，上杭职业中专学校积极对接县域电商产业发展需求，通过创新“校企协同、园校互动”模式，学校将教学实践直接嵌入电商产业园，组织学员在真实商业环境中进行全流程技能实训，有效提升了从业者的数字技能应用水平和直播电商实战能力。</w:t>
      </w:r>
      <w:r>
        <w:rPr>
          <w:rFonts w:hint="eastAsia" w:ascii="仿宋" w:hAnsi="仿宋" w:eastAsia="仿宋" w:cs="仿宋"/>
          <w:sz w:val="30"/>
          <w:szCs w:val="30"/>
          <w:lang w:val="en-US" w:eastAsia="zh-CN"/>
        </w:rPr>
        <w:t>例如，2025年7月联合上杭县文化旅游发展有限公司、上杭县工贸实业发展公司</w:t>
      </w:r>
      <w:r>
        <w:rPr>
          <w:rFonts w:hint="eastAsia" w:ascii="仿宋" w:hAnsi="仿宋" w:eastAsia="仿宋" w:cs="仿宋"/>
          <w:sz w:val="30"/>
          <w:szCs w:val="30"/>
          <w:lang w:eastAsia="zh-CN"/>
        </w:rPr>
        <w:t>开展电子商务技能专项培训。</w:t>
      </w:r>
      <w:r>
        <w:rPr>
          <w:rFonts w:hint="eastAsia" w:ascii="仿宋" w:hAnsi="仿宋" w:eastAsia="仿宋" w:cs="仿宋"/>
          <w:sz w:val="30"/>
          <w:szCs w:val="30"/>
          <w:lang w:val="en-US" w:eastAsia="zh-CN"/>
        </w:rPr>
        <w:t>培训内容</w:t>
      </w:r>
      <w:r>
        <w:rPr>
          <w:rFonts w:hint="eastAsia" w:ascii="仿宋" w:hAnsi="仿宋" w:eastAsia="仿宋" w:cs="仿宋"/>
          <w:sz w:val="30"/>
          <w:szCs w:val="30"/>
          <w:lang w:eastAsia="zh-CN"/>
        </w:rPr>
        <w:t>紧密围绕“电商行业发展现状与平台选择”“账号内容打造与短视频创设”“直播策划与执行”等当前行业核心技能模块展开，课程设计突出实战性与前瞻性。此类培训将职业教育资源精准对接区域产业发展需求，为本地企业培养了一批高素质技能型人才，充分彰显了学校在服务地方经济社会发展中的积极作用与扎实成效。</w:t>
      </w:r>
    </w:p>
    <w:p w14:paraId="00F2C5DC">
      <w:pPr>
        <w:pStyle w:val="24"/>
        <w:bidi w:val="0"/>
        <w:outlineLvl w:val="9"/>
        <w:rPr>
          <w:rFonts w:hint="default" w:ascii="仿宋" w:hAnsi="仿宋" w:eastAsia="仿宋" w:cs="仿宋"/>
          <w:b/>
          <w:bCs/>
          <w:color w:val="000000"/>
          <w:sz w:val="32"/>
          <w:szCs w:val="32"/>
          <w:shd w:val="clear" w:color="auto" w:fill="FFFFFF"/>
          <w:lang w:val="en-US" w:eastAsia="zh-CN"/>
        </w:rPr>
      </w:pPr>
      <w:bookmarkStart w:id="94" w:name="_Toc18601"/>
      <w:r>
        <w:rPr>
          <w:sz w:val="28"/>
          <w:szCs w:val="28"/>
        </w:rPr>
        <w:drawing>
          <wp:inline distT="0" distB="0" distL="114300" distR="114300">
            <wp:extent cx="2549525" cy="2166620"/>
            <wp:effectExtent l="0" t="0" r="3175" b="5080"/>
            <wp:docPr id="29" name="图片 29" descr="微信图片_20250728103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微信图片_20250728103112"/>
                    <pic:cNvPicPr>
                      <a:picLocks noChangeAspect="1"/>
                    </pic:cNvPicPr>
                  </pic:nvPicPr>
                  <pic:blipFill>
                    <a:blip r:embed="rId55"/>
                    <a:stretch>
                      <a:fillRect/>
                    </a:stretch>
                  </pic:blipFill>
                  <pic:spPr>
                    <a:xfrm>
                      <a:off x="0" y="0"/>
                      <a:ext cx="2549525" cy="2166620"/>
                    </a:xfrm>
                    <a:prstGeom prst="rect">
                      <a:avLst/>
                    </a:prstGeom>
                  </pic:spPr>
                </pic:pic>
              </a:graphicData>
            </a:graphic>
          </wp:inline>
        </w:drawing>
      </w:r>
      <w:r>
        <w:rPr>
          <w:rFonts w:hint="eastAsia"/>
          <w:sz w:val="28"/>
          <w:szCs w:val="28"/>
          <w:lang w:val="en-US" w:eastAsia="zh-CN"/>
        </w:rPr>
        <w:t xml:space="preserve"> </w:t>
      </w:r>
      <w:r>
        <w:rPr>
          <w:rFonts w:hint="eastAsia" w:eastAsia="仿宋_GB2312"/>
          <w:sz w:val="28"/>
          <w:szCs w:val="28"/>
          <w:lang w:eastAsia="zh-CN"/>
        </w:rPr>
        <w:drawing>
          <wp:inline distT="0" distB="0" distL="114300" distR="114300">
            <wp:extent cx="2500630" cy="2159000"/>
            <wp:effectExtent l="0" t="0" r="13970" b="12700"/>
            <wp:docPr id="30" name="图片 30" descr="微信图片_2025072810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微信图片_20250728104100"/>
                    <pic:cNvPicPr>
                      <a:picLocks noChangeAspect="1"/>
                    </pic:cNvPicPr>
                  </pic:nvPicPr>
                  <pic:blipFill>
                    <a:blip r:embed="rId56"/>
                    <a:stretch>
                      <a:fillRect/>
                    </a:stretch>
                  </pic:blipFill>
                  <pic:spPr>
                    <a:xfrm>
                      <a:off x="0" y="0"/>
                      <a:ext cx="2500630" cy="2159000"/>
                    </a:xfrm>
                    <a:prstGeom prst="rect">
                      <a:avLst/>
                    </a:prstGeom>
                  </pic:spPr>
                </pic:pic>
              </a:graphicData>
            </a:graphic>
          </wp:inline>
        </w:drawing>
      </w:r>
      <w:r>
        <w:rPr>
          <w:rFonts w:hint="eastAsia" w:ascii="仿宋" w:hAnsi="仿宋" w:eastAsia="仿宋" w:cs="仿宋"/>
          <w:b/>
          <w:bCs/>
          <w:color w:val="000000"/>
          <w:sz w:val="32"/>
          <w:szCs w:val="32"/>
          <w:shd w:val="clear" w:color="auto" w:fill="FFFFFF"/>
          <w:lang w:val="en-US" w:eastAsia="zh-CN"/>
        </w:rPr>
        <w:t xml:space="preserve"> </w:t>
      </w:r>
      <w:r>
        <w:rPr>
          <w:rFonts w:hint="eastAsia" w:ascii="仿宋_GB2312" w:hAnsi="仿宋_GB2312"/>
          <w:lang w:val="en-US" w:eastAsia="zh-CN"/>
        </w:rPr>
        <w:t>图37 电子商务技能培训现场</w:t>
      </w:r>
      <w:bookmarkEnd w:id="94"/>
    </w:p>
    <w:p w14:paraId="65556EB7">
      <w:pPr>
        <w:pStyle w:val="17"/>
        <w:numPr>
          <w:ilvl w:val="0"/>
          <w:numId w:val="0"/>
        </w:numPr>
        <w:spacing w:before="0" w:beforeAutospacing="0" w:after="0" w:afterAutospacing="0" w:line="580" w:lineRule="exact"/>
        <w:ind w:left="481" w:leftChars="0"/>
        <w:outlineLvl w:val="2"/>
        <w:rPr>
          <w:rFonts w:hint="eastAsia" w:ascii="仿宋" w:hAnsi="仿宋" w:eastAsia="仿宋" w:cs="仿宋"/>
          <w:b/>
          <w:bCs/>
          <w:sz w:val="32"/>
          <w:szCs w:val="32"/>
          <w:lang w:val="en-US" w:eastAsia="zh-CN"/>
        </w:rPr>
      </w:pPr>
      <w:bookmarkStart w:id="95" w:name="_Toc8707"/>
      <w:bookmarkStart w:id="96" w:name="_Toc25651"/>
      <w:bookmarkStart w:id="97" w:name="_Toc972"/>
      <w:bookmarkStart w:id="98" w:name="_Toc9192"/>
      <w:r>
        <w:rPr>
          <w:rFonts w:hint="eastAsia" w:ascii="仿宋" w:hAnsi="仿宋" w:eastAsia="仿宋" w:cs="仿宋"/>
          <w:b/>
          <w:bCs/>
          <w:sz w:val="32"/>
          <w:szCs w:val="32"/>
          <w:lang w:val="en-US" w:eastAsia="zh-CN"/>
        </w:rPr>
        <w:t>3.2.2 服务科技创新</w:t>
      </w:r>
      <w:bookmarkEnd w:id="95"/>
    </w:p>
    <w:p w14:paraId="0F11CDCC">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 紧扣县域产业升级，搭建政校企协同创新平台</w:t>
      </w:r>
    </w:p>
    <w:p w14:paraId="7882774D">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这是学校目前最具基础、也是官方重点推动的方向。其核心是成为县域产业转型升级的“人才孵化器”和“技术转化站”。具体做法与进展：</w:t>
      </w:r>
    </w:p>
    <w:p w14:paraId="723C7FC7">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 深化“预就业”人才培养模式：围绕县内重点企业（如德尔科技、紫金锂元、常青新能源等）的人才需求，学校正积极推动并参与政校企“预就业”合作。这种模式让学生在校期间就能提前锁定企业岗位，接受针对性的技能培养，实现毕业即上岗。</w:t>
      </w:r>
    </w:p>
    <w:p w14:paraId="457A7E20">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 共建技能大师工作室：学校支持和鼓励教师与企业能工巧匠联合申报市级、省级技能大师工作室。这类工作室不仅是高技能人才的“孵化器”，更能成为针对企业生产实际难题，进行技术攻关和工艺革新的小型“研发中心”。</w:t>
      </w:r>
    </w:p>
    <w:p w14:paraId="04D52243">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 建立产业信息互通机制：根据政府规划，学校将与县工信科技局、人社局等部门建立信息互通机制。这能让学校的专业设置和人才培养方案快速响应本县在新材料、新能源等“风口产业”的最新需求，确保教育供给与产业需求同频共振。</w:t>
      </w:r>
    </w:p>
    <w:p w14:paraId="49301CF6">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 聚焦“绿色福建”，在传统专业中注入绿色新内涵</w:t>
      </w:r>
    </w:p>
    <w:p w14:paraId="0B271D3D">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学校可以将服务“绿色福建”的战略，融入并升级现有的优势专业体系。具体做法与方向：</w:t>
      </w:r>
    </w:p>
    <w:p w14:paraId="33CFFB31">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 服务绿色建筑产业：利用作为“省级建筑人才培训中心”的优势，在建筑类专业中增设绿色建材应用、建筑节能技术、智能建造等课程或培训模块。为“中国建筑之乡”培养符合绿色、低碳发展要求的新型建筑工匠。</w:t>
      </w:r>
    </w:p>
    <w:p w14:paraId="10C0EECB">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 服务循环经济与环保监测：依托已有的分析检验技术专业和国家级实训基地，可以拓展工业废水检测、固体废物资源化分析、环境监测等技能培训方向。直接服务于本县金铜、新材料产业的环保升级和绿色发展。</w:t>
      </w:r>
    </w:p>
    <w:p w14:paraId="55F29235">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 拓展新能源技能培训：结合与常青新能源等企业的合作，可在机电技术应用等专业中，增设锂电材料基础、新能源设备维护等相关课程，为本地新能源产业链培养基础技能人才。</w:t>
      </w:r>
    </w:p>
    <w:p w14:paraId="40C08A1C">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 呼应“海上福建”，发展关联领域基础技能</w:t>
      </w:r>
    </w:p>
    <w:p w14:paraId="17AC24BF">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作为内陆县的中职学校，可通过培养通用型、基础性技能人才，间接服务海洋装备产业链的上下游。具体做法与方向：</w:t>
      </w:r>
    </w:p>
    <w:p w14:paraId="4C86D353">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 强化智能装备制造基础技能：“海上福建”离不开海洋智能装备（如无人船、监测机器人）。学校的机电技术应用、数控加工等专业，可以强化精密加工、自动化控制、传感器应用等基础技能培养，这些是高端装备制造的通用技术。</w:t>
      </w:r>
    </w:p>
    <w:p w14:paraId="644C1B8D">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 培育新材料应用初级人才：海洋装备需要特种钢材、防腐涂料、复合材料等。学校的金属压力加工、分析检验技术专业，可以适当融入新材料认知、基础性能测试等教学内容，为新材料应用环节储备人才。</w:t>
      </w:r>
    </w:p>
    <w:p w14:paraId="29DE0386">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 融入数字化设计与制造：现代船舶与海洋工程设计高度依赖数字化。在建筑装饰、计算机网络技术等专业中，可以加强CAD制图、三维建模、物联网基础等数字技能的训练，这些能力具有跨行业的迁移性。</w:t>
      </w:r>
    </w:p>
    <w:p w14:paraId="53D5D92A">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 拥抱数字智能，培育未来产业新工科素养</w:t>
      </w:r>
    </w:p>
    <w:p w14:paraId="0421AA6D">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这是面向未来的前瞻性布局，可以结合省级政策逐步推进。具体做法与方向：</w:t>
      </w:r>
    </w:p>
    <w:p w14:paraId="48CA7544">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 响应“人工智能+教育”省策：福建省计划到2027年在全省中小学（含中职）基本普及人工智能教育。学校可作为先行者，在计算机网络技术等专业中开设人工智能通识课程，或建立智能机器人、物联网等兴趣社团，培养学生基础数智素养。</w:t>
      </w:r>
    </w:p>
    <w:p w14:paraId="4021854D">
      <w:pPr>
        <w:pStyle w:val="17"/>
        <w:numPr>
          <w:ilvl w:val="0"/>
          <w:numId w:val="0"/>
        </w:numPr>
        <w:spacing w:before="0" w:beforeAutospacing="0" w:after="0" w:afterAutospacing="0" w:line="580" w:lineRule="exact"/>
        <w:ind w:firstLine="640" w:firstLineChars="200"/>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 建设智能化实践平台：可规划建设或升级虚拟仿真实验室、智能化实训基地。例如，为建筑专业引入BIM（建筑信息模型）仿真系统，为机电专业引入智能产线模拟平台，让学生在数字环境中掌握先进技术。</w:t>
      </w:r>
    </w:p>
    <w:p w14:paraId="60B4D15B">
      <w:pPr>
        <w:pStyle w:val="17"/>
        <w:numPr>
          <w:ilvl w:val="0"/>
          <w:numId w:val="0"/>
        </w:numPr>
        <w:spacing w:before="0" w:beforeAutospacing="0" w:after="0" w:afterAutospacing="0" w:line="580" w:lineRule="exact"/>
        <w:outlineLvl w:val="1"/>
        <w:rPr>
          <w:rFonts w:hint="eastAsia" w:ascii="华文楷体" w:hAnsi="华文楷体" w:eastAsia="华文楷体" w:cs="华文楷体"/>
          <w:b/>
          <w:bCs/>
          <w:color w:val="FF0000"/>
          <w:kern w:val="2"/>
          <w:sz w:val="28"/>
          <w:szCs w:val="28"/>
          <w:lang w:val="en-US" w:eastAsia="zh-CN" w:bidi="ar-SA"/>
        </w:rPr>
      </w:pPr>
      <w:bookmarkStart w:id="99" w:name="_Toc21588"/>
      <w:r>
        <w:rPr>
          <w:rFonts w:hint="eastAsia" w:ascii="黑体" w:hAnsi="黑体" w:eastAsia="黑体"/>
          <w:b/>
          <w:bCs/>
          <w:color w:val="000000"/>
          <w:sz w:val="32"/>
          <w:szCs w:val="32"/>
          <w:shd w:val="clear" w:color="auto" w:fill="FFFFFF"/>
          <w:lang w:val="en-US" w:eastAsia="zh-CN"/>
        </w:rPr>
        <w:t xml:space="preserve">3.2 </w:t>
      </w:r>
      <w:bookmarkEnd w:id="96"/>
      <w:bookmarkEnd w:id="97"/>
      <w:bookmarkEnd w:id="98"/>
      <w:r>
        <w:rPr>
          <w:rFonts w:hint="eastAsia" w:ascii="黑体" w:hAnsi="黑体" w:eastAsia="黑体"/>
          <w:b/>
          <w:bCs/>
          <w:color w:val="000000"/>
          <w:sz w:val="32"/>
          <w:szCs w:val="32"/>
          <w:shd w:val="clear" w:color="auto" w:fill="FFFFFF"/>
          <w:lang w:val="en-US" w:eastAsia="zh-CN"/>
        </w:rPr>
        <w:t>产业赋能</w:t>
      </w:r>
      <w:bookmarkEnd w:id="99"/>
      <w:bookmarkStart w:id="100" w:name="_Toc32082"/>
      <w:bookmarkStart w:id="101" w:name="_Toc7357"/>
      <w:bookmarkStart w:id="102" w:name="_Toc11292"/>
    </w:p>
    <w:p w14:paraId="0BD4C866">
      <w:pPr>
        <w:ind w:firstLine="602" w:firstLineChars="200"/>
        <w:outlineLvl w:val="2"/>
        <w:rPr>
          <w:rFonts w:hint="eastAsia" w:ascii="仿宋" w:hAnsi="仿宋" w:eastAsia="仿宋" w:cs="仿宋"/>
          <w:b/>
          <w:bCs/>
          <w:sz w:val="30"/>
          <w:szCs w:val="30"/>
        </w:rPr>
      </w:pPr>
      <w:bookmarkStart w:id="103" w:name="_Toc3833"/>
      <w:r>
        <w:rPr>
          <w:rFonts w:hint="eastAsia" w:ascii="仿宋" w:hAnsi="仿宋" w:eastAsia="仿宋" w:cs="仿宋"/>
          <w:b/>
          <w:bCs/>
          <w:sz w:val="30"/>
          <w:szCs w:val="30"/>
          <w:lang w:val="en-US" w:eastAsia="zh-CN"/>
        </w:rPr>
        <w:t>3</w:t>
      </w:r>
      <w:r>
        <w:rPr>
          <w:rFonts w:hint="eastAsia" w:ascii="仿宋" w:hAnsi="仿宋" w:eastAsia="仿宋" w:cs="仿宋"/>
          <w:b/>
          <w:bCs/>
          <w:sz w:val="30"/>
          <w:szCs w:val="30"/>
        </w:rPr>
        <w:t>.</w:t>
      </w:r>
      <w:r>
        <w:rPr>
          <w:rFonts w:hint="eastAsia" w:ascii="仿宋" w:hAnsi="仿宋" w:eastAsia="仿宋" w:cs="仿宋"/>
          <w:b/>
          <w:bCs/>
          <w:sz w:val="30"/>
          <w:szCs w:val="30"/>
          <w:lang w:val="en-US" w:eastAsia="zh-CN"/>
        </w:rPr>
        <w:t>2.1</w:t>
      </w:r>
      <w:r>
        <w:rPr>
          <w:rFonts w:hint="eastAsia" w:ascii="仿宋" w:hAnsi="仿宋" w:eastAsia="仿宋" w:cs="仿宋"/>
          <w:b/>
          <w:bCs/>
          <w:sz w:val="30"/>
          <w:szCs w:val="30"/>
        </w:rPr>
        <w:t>服务内容与实施情况</w:t>
      </w:r>
      <w:bookmarkEnd w:id="103"/>
    </w:p>
    <w:p w14:paraId="1625324A">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（一）定制化岗位培训计划</w:t>
      </w:r>
    </w:p>
    <w:p w14:paraId="136F72DE">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 xml:space="preserve">针对不同建筑企业的业务领域（如房建、市政、钢结构、装配式建筑等）与岗位需求（如项目经理、施工员、安全员等），联合行业专家与企业技术骨干，制定岗位培训计划。培训内容涵盖“建筑施工现场专业人员规范”“建筑安全生产管理规范解读”等类别，确保培训内容与企业实际工作场景高度契合。 </w:t>
      </w:r>
    </w:p>
    <w:p w14:paraId="46A6E09C">
      <w:pPr>
        <w:pStyle w:val="39"/>
        <w:bidi w:val="0"/>
        <w:rPr>
          <w:rFonts w:hint="eastAsia"/>
          <w:lang w:val="en-US" w:eastAsia="zh-CN"/>
        </w:rPr>
      </w:pPr>
      <w:bookmarkStart w:id="104" w:name="_Toc8816"/>
      <w:r>
        <w:rPr>
          <w:rFonts w:hint="eastAsia"/>
          <w:lang w:val="en-US" w:eastAsia="zh-CN"/>
        </w:rPr>
        <w:t>表7  岗位培训考试计划表</w:t>
      </w:r>
      <w:bookmarkEnd w:id="104"/>
    </w:p>
    <w:p w14:paraId="46189FDC">
      <w:pPr>
        <w:ind w:firstLine="560" w:firstLineChars="200"/>
        <w:outlineLvl w:val="9"/>
        <w:rPr>
          <w:rFonts w:ascii="宋体" w:hAnsi="宋体" w:eastAsia="宋体"/>
          <w:sz w:val="28"/>
          <w:szCs w:val="28"/>
        </w:rPr>
      </w:pPr>
      <w:r>
        <w:rPr>
          <w:rFonts w:ascii="宋体" w:hAnsi="宋体" w:eastAsia="宋体"/>
          <w:sz w:val="28"/>
          <w:szCs w:val="28"/>
        </w:rPr>
        <w:drawing>
          <wp:inline distT="0" distB="0" distL="0" distR="0">
            <wp:extent cx="4760595" cy="1741805"/>
            <wp:effectExtent l="0" t="0" r="1905" b="10795"/>
            <wp:docPr id="55" name="图片 55" descr="34c6de337cd864be1c6f436e77721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34c6de337cd864be1c6f436e7772167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a:xfrm>
                      <a:off x="0" y="0"/>
                      <a:ext cx="4760595" cy="1741805"/>
                    </a:xfrm>
                    <a:prstGeom prst="rect">
                      <a:avLst/>
                    </a:prstGeom>
                    <a:noFill/>
                    <a:ln>
                      <a:noFill/>
                    </a:ln>
                  </pic:spPr>
                </pic:pic>
              </a:graphicData>
            </a:graphic>
          </wp:inline>
        </w:drawing>
      </w:r>
      <w:r>
        <w:rPr>
          <w:rFonts w:ascii="宋体" w:hAnsi="宋体" w:eastAsia="宋体"/>
          <w:sz w:val="28"/>
          <w:szCs w:val="28"/>
        </w:rPr>
        <w:t xml:space="preserve">  </w:t>
      </w:r>
    </w:p>
    <w:p w14:paraId="5D6FFAE5">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 xml:space="preserve"> （二）多元化培训形式开展</w:t>
      </w:r>
    </w:p>
    <w:p w14:paraId="6555EB37">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根据企业人员规模、时间安排及学习偏好，提供多元化培训形式，满足企业灵活学习需求：</w:t>
      </w:r>
    </w:p>
    <w:p w14:paraId="04ED0A06">
      <w:pPr>
        <w:pStyle w:val="24"/>
        <w:bidi w:val="0"/>
        <w:rPr>
          <w:rFonts w:ascii="宋体" w:hAnsi="宋体" w:eastAsia="宋体"/>
          <w:sz w:val="28"/>
          <w:szCs w:val="28"/>
        </w:rPr>
      </w:pPr>
      <w:bookmarkStart w:id="105" w:name="_Toc13866"/>
      <w:r>
        <w:rPr>
          <w:rFonts w:hint="eastAsia" w:ascii="仿宋" w:hAnsi="仿宋" w:eastAsia="仿宋" w:cs="仿宋"/>
          <w:sz w:val="30"/>
          <w:szCs w:val="30"/>
        </w:rPr>
        <w:t>1.线下集中培训：在上杭县建筑人才培训机构教学点开展面对</w:t>
      </w:r>
      <w:r>
        <w:rPr>
          <w:rFonts w:hint="eastAsia" w:ascii="仿宋" w:hAnsi="仿宋" w:eastAsia="仿宋" w:cs="仿宋"/>
          <w:spacing w:val="3"/>
          <w:w w:val="100"/>
          <w:kern w:val="0"/>
          <w:sz w:val="30"/>
          <w:szCs w:val="30"/>
          <w:fitText w:val="6440" w:id="1266514241"/>
        </w:rPr>
        <w:t>面授配备实操教具与模拟场景，组织线下培训</w:t>
      </w:r>
      <w:r>
        <w:rPr>
          <w:rFonts w:hint="eastAsia" w:ascii="仿宋" w:hAnsi="仿宋" w:eastAsia="仿宋" w:cs="仿宋"/>
          <w:spacing w:val="10"/>
          <w:w w:val="100"/>
          <w:kern w:val="0"/>
          <w:sz w:val="30"/>
          <w:szCs w:val="30"/>
          <w:fitText w:val="6440" w:id="1266514241"/>
        </w:rPr>
        <w:t>。</w:t>
      </w:r>
      <w:r>
        <w:rPr>
          <w:rFonts w:hint="eastAsia" w:ascii="宋体" w:hAnsi="宋体" w:eastAsia="宋体"/>
          <w:sz w:val="28"/>
          <w:szCs w:val="28"/>
        </w:rPr>
        <w:t xml:space="preserve"> </w:t>
      </w:r>
      <w:r>
        <w:rPr>
          <w:rFonts w:ascii="宋体" w:hAnsi="宋体" w:eastAsia="宋体"/>
          <w:sz w:val="28"/>
          <w:szCs w:val="28"/>
        </w:rPr>
        <w:t xml:space="preserve">             </w:t>
      </w:r>
      <w:r>
        <w:rPr>
          <w:sz w:val="28"/>
          <w:szCs w:val="28"/>
        </w:rPr>
        <w:drawing>
          <wp:inline distT="0" distB="0" distL="0" distR="0">
            <wp:extent cx="2404110" cy="1802765"/>
            <wp:effectExtent l="0" t="0" r="15240" b="6985"/>
            <wp:docPr id="56" name="图片 56" descr="d:\xwechat_files\cly450558870_f8ba\temp\RWTemp\2025-11\be548fc627819803e192db15eb34e9d0\6b3e579d282eb71161b6a5446cd413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d:\xwechat_files\cly450558870_f8ba\temp\RWTemp\2025-11\be548fc627819803e192db15eb34e9d0\6b3e579d282eb71161b6a5446cd413cc.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a:xfrm>
                      <a:off x="0" y="0"/>
                      <a:ext cx="2404110" cy="1802765"/>
                    </a:xfrm>
                    <a:prstGeom prst="rect">
                      <a:avLst/>
                    </a:prstGeom>
                    <a:noFill/>
                    <a:ln>
                      <a:noFill/>
                    </a:ln>
                  </pic:spPr>
                </pic:pic>
              </a:graphicData>
            </a:graphic>
          </wp:inline>
        </w:drawing>
      </w:r>
      <w:r>
        <w:rPr>
          <w:rFonts w:ascii="宋体" w:hAnsi="宋体" w:eastAsia="宋体"/>
          <w:sz w:val="28"/>
          <w:szCs w:val="28"/>
        </w:rPr>
        <w:t xml:space="preserve">    </w:t>
      </w:r>
      <w:r>
        <w:rPr>
          <w:sz w:val="28"/>
          <w:szCs w:val="28"/>
        </w:rPr>
        <w:drawing>
          <wp:inline distT="0" distB="0" distL="0" distR="0">
            <wp:extent cx="2399665" cy="1799590"/>
            <wp:effectExtent l="0" t="0" r="635" b="10160"/>
            <wp:docPr id="57" name="图片 57" descr="d:\xwechat_files\cly450558870_f8ba\temp\RWTemp\2025-11\be548fc627819803e192db15eb34e9d0\ef28e7a82f0349964fd73cfd427bd7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d:\xwechat_files\cly450558870_f8ba\temp\RWTemp\2025-11\be548fc627819803e192db15eb34e9d0\ef28e7a82f0349964fd73cfd427bd7e8.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a:xfrm>
                      <a:off x="0" y="0"/>
                      <a:ext cx="2399665" cy="1799590"/>
                    </a:xfrm>
                    <a:prstGeom prst="rect">
                      <a:avLst/>
                    </a:prstGeom>
                    <a:noFill/>
                    <a:ln>
                      <a:noFill/>
                    </a:ln>
                  </pic:spPr>
                </pic:pic>
              </a:graphicData>
            </a:graphic>
          </wp:inline>
        </w:drawing>
      </w:r>
      <w:r>
        <w:rPr>
          <w:rFonts w:ascii="宋体" w:hAnsi="宋体" w:eastAsia="宋体"/>
          <w:sz w:val="28"/>
          <w:szCs w:val="28"/>
        </w:rPr>
        <w:t xml:space="preserve">     </w:t>
      </w:r>
      <w:r>
        <w:rPr>
          <w:rFonts w:hint="eastAsia" w:ascii="宋体" w:hAnsi="宋体"/>
          <w:sz w:val="28"/>
          <w:szCs w:val="28"/>
          <w:lang w:val="en-US" w:eastAsia="zh-CN"/>
        </w:rPr>
        <w:t xml:space="preserve">  </w:t>
      </w:r>
      <w:r>
        <w:rPr>
          <w:rFonts w:hint="eastAsia" w:ascii="宋体" w:hAnsi="宋体" w:eastAsia="宋体"/>
          <w:sz w:val="28"/>
          <w:szCs w:val="28"/>
        </w:rPr>
        <w:t xml:space="preserve"> </w:t>
      </w:r>
      <w:r>
        <w:rPr>
          <w:rFonts w:hint="eastAsia" w:ascii="宋体" w:hAnsi="宋体"/>
          <w:sz w:val="28"/>
          <w:szCs w:val="28"/>
          <w:lang w:val="en-US" w:eastAsia="zh-CN"/>
        </w:rPr>
        <w:t xml:space="preserve">       </w:t>
      </w:r>
      <w:r>
        <w:rPr>
          <w:rFonts w:hint="eastAsia" w:ascii="仿宋_GB2312" w:hAnsi="仿宋_GB2312" w:eastAsia="仿宋" w:cs="仿宋_GB2312"/>
          <w:b/>
          <w:kern w:val="2"/>
          <w:sz w:val="24"/>
          <w:szCs w:val="28"/>
          <w:lang w:val="en-US" w:eastAsia="zh-CN" w:bidi="ar-SA"/>
        </w:rPr>
        <w:t xml:space="preserve">图38 实操现场01  </w:t>
      </w: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r>
        <w:rPr>
          <w:rFonts w:hint="eastAsia" w:ascii="仿宋_GB2312" w:hAnsi="仿宋_GB2312" w:eastAsia="仿宋" w:cs="仿宋_GB2312"/>
          <w:b/>
          <w:kern w:val="2"/>
          <w:sz w:val="24"/>
          <w:szCs w:val="28"/>
          <w:lang w:val="en-US" w:eastAsia="zh-CN" w:bidi="ar-SA"/>
        </w:rPr>
        <w:t xml:space="preserve">  图39 培训集体照</w:t>
      </w:r>
      <w:bookmarkEnd w:id="105"/>
    </w:p>
    <w:p w14:paraId="372CB2C2">
      <w:pPr>
        <w:pStyle w:val="38"/>
        <w:ind w:left="0" w:leftChars="0" w:firstLine="0" w:firstLineChars="0"/>
        <w:outlineLvl w:val="9"/>
        <w:rPr>
          <w:rFonts w:hint="eastAsia" w:ascii="宋体" w:hAnsi="宋体" w:eastAsia="宋体"/>
          <w:sz w:val="28"/>
          <w:szCs w:val="28"/>
        </w:rPr>
      </w:pPr>
      <w:r>
        <w:rPr>
          <w:rFonts w:hint="eastAsia" w:ascii="宋体" w:hAnsi="宋体"/>
          <w:sz w:val="28"/>
          <w:szCs w:val="28"/>
          <w:lang w:val="en-US" w:eastAsia="zh-CN"/>
        </w:rPr>
        <w:t xml:space="preserve"> </w:t>
      </w:r>
      <w:r>
        <w:rPr>
          <w:rFonts w:ascii="宋体" w:hAnsi="宋体" w:eastAsia="宋体"/>
          <w:sz w:val="28"/>
          <w:szCs w:val="28"/>
        </w:rPr>
        <w:drawing>
          <wp:inline distT="0" distB="0" distL="0" distR="0">
            <wp:extent cx="2467610" cy="1851660"/>
            <wp:effectExtent l="0" t="0" r="8890" b="15240"/>
            <wp:docPr id="58" name="图片 58" descr="C:\Users\ADMINI~1\AppData\Local\Temp\Rar$DRa9072.47512\第二期照片\实操现场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C:\Users\ADMINI~1\AppData\Local\Temp\Rar$DRa9072.47512\第二期照片\实操现场0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a:xfrm flipH="1">
                      <a:off x="0" y="0"/>
                      <a:ext cx="2467610" cy="1851660"/>
                    </a:xfrm>
                    <a:prstGeom prst="rect">
                      <a:avLst/>
                    </a:prstGeom>
                    <a:noFill/>
                    <a:ln>
                      <a:noFill/>
                    </a:ln>
                  </pic:spPr>
                </pic:pic>
              </a:graphicData>
            </a:graphic>
          </wp:inline>
        </w:drawing>
      </w:r>
      <w:r>
        <w:rPr>
          <w:rFonts w:hint="eastAsia" w:ascii="宋体" w:hAnsi="宋体" w:eastAsia="宋体"/>
          <w:sz w:val="28"/>
          <w:szCs w:val="28"/>
        </w:rPr>
        <w:t xml:space="preserve"> </w:t>
      </w:r>
      <w:r>
        <w:rPr>
          <w:rFonts w:ascii="宋体" w:hAnsi="宋体" w:eastAsia="宋体"/>
          <w:sz w:val="28"/>
          <w:szCs w:val="28"/>
        </w:rPr>
        <w:t xml:space="preserve">  </w:t>
      </w:r>
      <w:r>
        <w:rPr>
          <w:rFonts w:ascii="宋体" w:hAnsi="宋体" w:eastAsia="宋体"/>
          <w:sz w:val="28"/>
          <w:szCs w:val="28"/>
        </w:rPr>
        <w:drawing>
          <wp:inline distT="0" distB="0" distL="0" distR="0">
            <wp:extent cx="2392680" cy="1869440"/>
            <wp:effectExtent l="0" t="0" r="7620" b="16510"/>
            <wp:docPr id="59" name="图片 59" descr="d:\xwechat_files\cly450558870_f8ba\temp\RWTemp\2025-11\be548fc627819803e192db15eb34e9d0\baebab3dcec720d6103a8fce4f5c6a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d:\xwechat_files\cly450558870_f8ba\temp\RWTemp\2025-11\be548fc627819803e192db15eb34e9d0\baebab3dcec720d6103a8fce4f5c6a3d.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a:xfrm>
                      <a:off x="0" y="0"/>
                      <a:ext cx="2392680" cy="1869440"/>
                    </a:xfrm>
                    <a:prstGeom prst="rect">
                      <a:avLst/>
                    </a:prstGeom>
                    <a:noFill/>
                    <a:ln>
                      <a:noFill/>
                    </a:ln>
                  </pic:spPr>
                </pic:pic>
              </a:graphicData>
            </a:graphic>
          </wp:inline>
        </w:drawing>
      </w:r>
      <w:r>
        <w:rPr>
          <w:rFonts w:ascii="宋体" w:hAnsi="宋体" w:eastAsia="宋体"/>
          <w:sz w:val="28"/>
          <w:szCs w:val="28"/>
        </w:rPr>
        <w:t xml:space="preserve"> </w:t>
      </w:r>
    </w:p>
    <w:p w14:paraId="51324DB0">
      <w:pPr>
        <w:pStyle w:val="24"/>
        <w:bidi w:val="0"/>
        <w:rPr>
          <w:rFonts w:hint="eastAsia"/>
        </w:rPr>
      </w:pPr>
      <w:bookmarkStart w:id="106" w:name="_Toc15497"/>
      <w:r>
        <w:rPr>
          <w:rFonts w:hint="eastAsia"/>
          <w:lang w:val="en-US" w:eastAsia="zh-CN"/>
        </w:rPr>
        <w:t xml:space="preserve">图40 实操现场02 </w:t>
      </w:r>
      <w:r>
        <w:rPr>
          <w:rFonts w:hint="eastAsia"/>
        </w:rPr>
        <w:t xml:space="preserve">        </w:t>
      </w:r>
      <w:r>
        <w:rPr>
          <w:rFonts w:hint="eastAsia"/>
          <w:lang w:val="en-US" w:eastAsia="zh-CN"/>
        </w:rPr>
        <w:t xml:space="preserve">        图41  优秀学员颁奖</w:t>
      </w:r>
      <w:bookmarkEnd w:id="106"/>
    </w:p>
    <w:p w14:paraId="0ECCE5D6">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2024年9月-2025年8月累计岗位共培训了11252人次建筑类技术工人。其中参加考核新发证共502人（施工现场管理人员共计280人次，安管人员共计222人次）。</w:t>
      </w:r>
    </w:p>
    <w:p w14:paraId="590521E8">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线上继续教育课程：搭建线上学习平台，开设实时直播课程，同步提供录播回放，方便企业员工利用碎片化时间学习，累计岗位继续教育培训13423人次 （安管人员4751人次，施工现场专业人员8672人次）。</w:t>
      </w:r>
    </w:p>
    <w:p w14:paraId="14FDA533">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（三）培训师资与教学保障</w:t>
      </w:r>
    </w:p>
    <w:p w14:paraId="2ACAE4F5">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1.师资团队建设：筛选具备10年以上建筑行业从业经验、持有注册建造师、注册造价工程师等专业证书的讲师，确保师资兼具理论水平与实战经验。</w:t>
      </w:r>
    </w:p>
    <w:p w14:paraId="4F288A98">
      <w:pPr>
        <w:ind w:firstLine="560" w:firstLineChars="200"/>
        <w:outlineLvl w:val="9"/>
        <w:rPr>
          <w:rFonts w:ascii="宋体" w:hAnsi="宋体" w:eastAsia="宋体"/>
          <w:sz w:val="28"/>
          <w:szCs w:val="28"/>
        </w:rPr>
      </w:pPr>
      <w:r>
        <w:rPr>
          <w:rFonts w:ascii="宋体" w:hAnsi="宋体" w:eastAsia="宋体"/>
          <w:sz w:val="28"/>
          <w:szCs w:val="28"/>
        </w:rPr>
        <w:drawing>
          <wp:inline distT="0" distB="0" distL="0" distR="0">
            <wp:extent cx="2044700" cy="1533525"/>
            <wp:effectExtent l="0" t="0" r="12700" b="9525"/>
            <wp:docPr id="60" name="图片 60" descr="C:\Users\ADMINI~1\AppData\Local\Temp\Rar$DRa9072.7530\第二期照片\住建局黄丽文 工程师  上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C:\Users\ADMINI~1\AppData\Local\Temp\Rar$DRa9072.7530\第二期照片\住建局黄丽文 工程师  上课.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2048419" cy="1536314"/>
                    </a:xfrm>
                    <a:prstGeom prst="rect">
                      <a:avLst/>
                    </a:prstGeom>
                    <a:noFill/>
                    <a:ln>
                      <a:noFill/>
                    </a:ln>
                  </pic:spPr>
                </pic:pic>
              </a:graphicData>
            </a:graphic>
          </wp:inline>
        </w:drawing>
      </w:r>
      <w:r>
        <w:rPr>
          <w:rFonts w:hint="eastAsia" w:ascii="宋体" w:hAnsi="宋体" w:eastAsia="宋体"/>
          <w:sz w:val="28"/>
          <w:szCs w:val="28"/>
        </w:rPr>
        <w:t xml:space="preserve"> </w:t>
      </w:r>
      <w:r>
        <w:rPr>
          <w:rFonts w:ascii="宋体" w:hAnsi="宋体" w:eastAsia="宋体"/>
          <w:sz w:val="28"/>
          <w:szCs w:val="28"/>
        </w:rPr>
        <w:t xml:space="preserve">     </w:t>
      </w:r>
      <w:r>
        <w:rPr>
          <w:rFonts w:ascii="宋体" w:hAnsi="宋体" w:eastAsia="宋体"/>
          <w:sz w:val="28"/>
          <w:szCs w:val="28"/>
        </w:rPr>
        <w:drawing>
          <wp:inline distT="0" distB="0" distL="0" distR="0">
            <wp:extent cx="2105025" cy="1581150"/>
            <wp:effectExtent l="0" t="0" r="9525" b="0"/>
            <wp:docPr id="61" name="图片 61" descr="C:\Users\ADMINI~1\AppData\Local\Temp\Rar$DRa9072.43831\2024第三期 工匠 照片\罗红斌上课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C:\Users\ADMINI~1\AppData\Local\Temp\Rar$DRa9072.43831\2024第三期 工匠 照片\罗红斌上课01.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a:xfrm>
                      <a:off x="0" y="0"/>
                      <a:ext cx="2116827" cy="1590043"/>
                    </a:xfrm>
                    <a:prstGeom prst="rect">
                      <a:avLst/>
                    </a:prstGeom>
                    <a:noFill/>
                    <a:ln>
                      <a:noFill/>
                    </a:ln>
                  </pic:spPr>
                </pic:pic>
              </a:graphicData>
            </a:graphic>
          </wp:inline>
        </w:drawing>
      </w:r>
    </w:p>
    <w:p w14:paraId="0F44ACA7">
      <w:pPr>
        <w:pStyle w:val="24"/>
        <w:bidi w:val="0"/>
        <w:rPr>
          <w:rFonts w:hint="eastAsia" w:ascii="仿宋_GB2312" w:hAnsi="仿宋_GB2312"/>
          <w:lang w:val="en-US" w:eastAsia="zh-CN"/>
        </w:rPr>
      </w:pPr>
      <w:bookmarkStart w:id="107" w:name="_Toc9533"/>
      <w:r>
        <w:rPr>
          <w:rFonts w:hint="eastAsia" w:ascii="仿宋_GB2312" w:hAnsi="仿宋_GB2312"/>
          <w:lang w:val="en-US" w:eastAsia="zh-CN"/>
        </w:rPr>
        <w:t>图42 授课教师：                        图43授课教师:</w:t>
      </w:r>
      <w:bookmarkEnd w:id="107"/>
    </w:p>
    <w:p w14:paraId="46F5F2C3">
      <w:pPr>
        <w:pStyle w:val="24"/>
        <w:bidi w:val="0"/>
        <w:rPr>
          <w:rFonts w:ascii="宋体" w:hAnsi="宋体" w:eastAsia="宋体"/>
          <w:sz w:val="24"/>
          <w:szCs w:val="24"/>
        </w:rPr>
      </w:pPr>
      <w:bookmarkStart w:id="108" w:name="_Toc30698"/>
      <w:bookmarkStart w:id="109" w:name="_Toc32610"/>
      <w:bookmarkStart w:id="110" w:name="_Toc32345"/>
      <w:r>
        <w:rPr>
          <w:rFonts w:hint="eastAsia" w:ascii="仿宋_GB2312" w:hAnsi="仿宋_GB2312"/>
          <w:lang w:val="en-US" w:eastAsia="zh-CN"/>
        </w:rPr>
        <w:t>住建局工程师黄丽文</w:t>
      </w:r>
      <w:r>
        <w:rPr>
          <w:rFonts w:hint="eastAsia" w:ascii="仿宋" w:hAnsi="仿宋" w:eastAsia="仿宋" w:cs="仿宋"/>
          <w:sz w:val="24"/>
          <w:szCs w:val="24"/>
          <w:lang w:val="en-US" w:eastAsia="zh-CN"/>
        </w:rPr>
        <w:t xml:space="preserve">                   </w:t>
      </w:r>
      <w:r>
        <w:rPr>
          <w:rFonts w:hint="eastAsia" w:ascii="仿宋_GB2312" w:hAnsi="仿宋_GB2312"/>
          <w:lang w:val="en-US" w:eastAsia="zh-CN"/>
        </w:rPr>
        <w:t xml:space="preserve"> 企业家罗红斌</w:t>
      </w:r>
      <w:bookmarkEnd w:id="108"/>
      <w:bookmarkEnd w:id="109"/>
      <w:bookmarkEnd w:id="110"/>
    </w:p>
    <w:p w14:paraId="30E24A69">
      <w:pPr>
        <w:outlineLvl w:val="9"/>
        <w:rPr>
          <w:rFonts w:ascii="宋体" w:hAnsi="宋体" w:eastAsia="宋体"/>
          <w:szCs w:val="21"/>
        </w:rPr>
      </w:pPr>
      <w:r>
        <w:rPr>
          <w:rFonts w:hint="eastAsia" w:ascii="宋体" w:hAnsi="宋体"/>
          <w:szCs w:val="21"/>
          <w:lang w:val="en-US" w:eastAsia="zh-CN"/>
        </w:rPr>
        <w:t xml:space="preserve">    </w:t>
      </w:r>
      <w:r>
        <w:rPr>
          <w:rFonts w:ascii="宋体" w:hAnsi="宋体" w:eastAsia="宋体"/>
          <w:szCs w:val="21"/>
        </w:rPr>
        <w:drawing>
          <wp:inline distT="0" distB="0" distL="0" distR="0">
            <wp:extent cx="2150110" cy="1497965"/>
            <wp:effectExtent l="0" t="0" r="2540" b="6985"/>
            <wp:docPr id="62" name="图片 62" descr="C:\Users\ADMINI~1\AppData\Local\Temp\Rar$DRa9072.4961\2024第三期 工匠 照片\李静静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C:\Users\ADMINI~1\AppData\Local\Temp\Rar$DRa9072.4961\2024第三期 工匠 照片\李静静3.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a:xfrm>
                      <a:off x="0" y="0"/>
                      <a:ext cx="2150110" cy="1497965"/>
                    </a:xfrm>
                    <a:prstGeom prst="rect">
                      <a:avLst/>
                    </a:prstGeom>
                    <a:noFill/>
                    <a:ln>
                      <a:noFill/>
                    </a:ln>
                  </pic:spPr>
                </pic:pic>
              </a:graphicData>
            </a:graphic>
          </wp:inline>
        </w:drawing>
      </w:r>
      <w:r>
        <w:rPr>
          <w:rFonts w:hint="eastAsia" w:ascii="宋体" w:hAnsi="宋体"/>
          <w:szCs w:val="21"/>
          <w:lang w:val="en-US" w:eastAsia="zh-CN"/>
        </w:rPr>
        <w:t xml:space="preserve"> </w:t>
      </w:r>
      <w:r>
        <w:rPr>
          <w:rFonts w:hint="eastAsia" w:ascii="宋体" w:hAnsi="宋体" w:eastAsia="宋体"/>
          <w:szCs w:val="21"/>
        </w:rPr>
        <w:t xml:space="preserve"> </w:t>
      </w:r>
      <w:r>
        <w:rPr>
          <w:rFonts w:ascii="宋体" w:hAnsi="宋体" w:eastAsia="宋体"/>
          <w:szCs w:val="21"/>
        </w:rPr>
        <w:t xml:space="preserve">     </w:t>
      </w:r>
      <w:r>
        <w:rPr>
          <w:rFonts w:ascii="宋体" w:hAnsi="宋体" w:eastAsia="宋体"/>
          <w:szCs w:val="21"/>
        </w:rPr>
        <w:drawing>
          <wp:inline distT="0" distB="0" distL="0" distR="0">
            <wp:extent cx="2245995" cy="1481455"/>
            <wp:effectExtent l="0" t="0" r="1905" b="4445"/>
            <wp:docPr id="63" name="图片 63" descr="C:\Users\ADMINI~1\AppData\Local\Temp\Rar$DRa9072.10138\第二期照片\李珍老师上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C:\Users\ADMINI~1\AppData\Local\Temp\Rar$DRa9072.10138\第二期照片\李珍老师上课.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2245995" cy="1481455"/>
                    </a:xfrm>
                    <a:prstGeom prst="rect">
                      <a:avLst/>
                    </a:prstGeom>
                    <a:noFill/>
                    <a:ln>
                      <a:noFill/>
                    </a:ln>
                  </pic:spPr>
                </pic:pic>
              </a:graphicData>
            </a:graphic>
          </wp:inline>
        </w:drawing>
      </w:r>
    </w:p>
    <w:p w14:paraId="041702C5">
      <w:pPr>
        <w:pStyle w:val="24"/>
        <w:bidi w:val="0"/>
        <w:rPr>
          <w:rFonts w:hint="eastAsia" w:ascii="仿宋" w:hAnsi="仿宋" w:eastAsia="仿宋" w:cs="仿宋"/>
          <w:szCs w:val="24"/>
        </w:rPr>
      </w:pPr>
      <w:bookmarkStart w:id="111" w:name="_Toc25926"/>
      <w:r>
        <w:rPr>
          <w:rFonts w:hint="eastAsia"/>
          <w:lang w:val="en-US" w:eastAsia="zh-CN"/>
        </w:rPr>
        <w:t>图44 优秀专业教师：李静静</w:t>
      </w:r>
      <w:r>
        <w:rPr>
          <w:rFonts w:hint="eastAsia"/>
        </w:rPr>
        <w:t xml:space="preserve">     </w:t>
      </w:r>
      <w:r>
        <w:rPr>
          <w:rFonts w:hint="eastAsia"/>
          <w:lang w:val="en-US" w:eastAsia="zh-CN"/>
        </w:rPr>
        <w:t xml:space="preserve">      图45 优秀专业教师：李珍</w:t>
      </w:r>
      <w:bookmarkEnd w:id="111"/>
    </w:p>
    <w:p w14:paraId="4833FF4B">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教学质量管控：建立“课前备课审核、课中教学监督、课后效果反馈”全流程管控机制。课前审核讲师教案与课件，确保内容准确合规；课中通过随堂听课、学员实时评价监督教学过程；课后收集企业与学员反馈，针对性调整教学方案。</w:t>
      </w:r>
    </w:p>
    <w:p w14:paraId="47CCFD0E">
      <w:pPr>
        <w:ind w:firstLine="602" w:firstLineChars="200"/>
        <w:outlineLvl w:val="2"/>
        <w:rPr>
          <w:rFonts w:hint="eastAsia" w:ascii="仿宋" w:hAnsi="仿宋" w:eastAsia="仿宋" w:cs="仿宋"/>
          <w:b/>
          <w:bCs/>
          <w:sz w:val="30"/>
          <w:szCs w:val="30"/>
        </w:rPr>
      </w:pPr>
      <w:bookmarkStart w:id="112" w:name="_Toc25710"/>
      <w:r>
        <w:rPr>
          <w:rFonts w:hint="eastAsia" w:ascii="仿宋" w:hAnsi="仿宋" w:eastAsia="仿宋" w:cs="仿宋"/>
          <w:b/>
          <w:bCs/>
          <w:sz w:val="30"/>
          <w:szCs w:val="30"/>
          <w:lang w:val="en-US" w:eastAsia="zh-CN"/>
        </w:rPr>
        <w:t>3</w:t>
      </w:r>
      <w:r>
        <w:rPr>
          <w:rFonts w:hint="eastAsia" w:ascii="仿宋" w:hAnsi="仿宋" w:eastAsia="仿宋" w:cs="仿宋"/>
          <w:b/>
          <w:bCs/>
          <w:sz w:val="30"/>
          <w:szCs w:val="30"/>
        </w:rPr>
        <w:t>.</w:t>
      </w:r>
      <w:r>
        <w:rPr>
          <w:rFonts w:hint="eastAsia" w:ascii="仿宋" w:hAnsi="仿宋" w:eastAsia="仿宋" w:cs="仿宋"/>
          <w:b/>
          <w:bCs/>
          <w:sz w:val="30"/>
          <w:szCs w:val="30"/>
          <w:lang w:val="en-US" w:eastAsia="zh-CN"/>
        </w:rPr>
        <w:t>2.2</w:t>
      </w:r>
      <w:r>
        <w:rPr>
          <w:rFonts w:hint="eastAsia" w:ascii="仿宋" w:hAnsi="仿宋" w:eastAsia="仿宋" w:cs="仿宋"/>
          <w:b/>
          <w:bCs/>
          <w:sz w:val="30"/>
          <w:szCs w:val="30"/>
        </w:rPr>
        <w:t>服务成效</w:t>
      </w:r>
      <w:bookmarkEnd w:id="112"/>
    </w:p>
    <w:p w14:paraId="069DE9B8">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（一）企业人才能力提升</w:t>
      </w:r>
    </w:p>
    <w:p w14:paraId="1DEB01AA">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通过培训，企业员工在专业技能、安全意识、管理能力等方面显著提升，较往年证书考核合格率有所提升据企业反馈，参训员工在项目施工效率上有所提升，施工过程中安全事故发生率降低，工程造价核算准确率提高。</w:t>
      </w:r>
    </w:p>
    <w:p w14:paraId="7372847C">
      <w:pPr>
        <w:pStyle w:val="39"/>
        <w:bidi w:val="0"/>
        <w:rPr>
          <w:rFonts w:hint="eastAsia"/>
          <w:lang w:val="en-US" w:eastAsia="zh-CN"/>
        </w:rPr>
      </w:pPr>
      <w:bookmarkStart w:id="113" w:name="_Toc30169"/>
      <w:r>
        <w:rPr>
          <w:rFonts w:hint="eastAsia"/>
          <w:lang w:val="en-US" w:eastAsia="zh-CN"/>
        </w:rPr>
        <w:t>表8 历年岗位培训数据汇总表</w:t>
      </w:r>
      <w:bookmarkEnd w:id="113"/>
    </w:p>
    <w:p w14:paraId="2B5482C1">
      <w:pPr>
        <w:ind w:firstLine="560" w:firstLineChars="200"/>
        <w:jc w:val="left"/>
        <w:outlineLvl w:val="9"/>
        <w:rPr>
          <w:rFonts w:ascii="宋体" w:hAnsi="宋体" w:eastAsia="宋体"/>
          <w:sz w:val="28"/>
          <w:szCs w:val="28"/>
        </w:rPr>
      </w:pPr>
      <w:r>
        <w:rPr>
          <w:rFonts w:ascii="宋体" w:hAnsi="宋体" w:eastAsia="宋体"/>
          <w:sz w:val="28"/>
          <w:szCs w:val="28"/>
        </w:rPr>
        <w:drawing>
          <wp:inline distT="0" distB="0" distL="0" distR="0">
            <wp:extent cx="5387340" cy="1819275"/>
            <wp:effectExtent l="0" t="0" r="3810" b="9525"/>
            <wp:docPr id="64" name="图片 64" descr="d:\xwechat_files\cly450558870_f8ba\temp\RWTemp\2025-11\befec0c2de69908c6dc8f4df1cb7b45b\4e5268fb32188b3345005026375cb6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d:\xwechat_files\cly450558870_f8ba\temp\RWTemp\2025-11\befec0c2de69908c6dc8f4df1cb7b45b\4e5268fb32188b3345005026375cb684.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5392697" cy="1820987"/>
                    </a:xfrm>
                    <a:prstGeom prst="rect">
                      <a:avLst/>
                    </a:prstGeom>
                    <a:noFill/>
                    <a:ln>
                      <a:noFill/>
                    </a:ln>
                  </pic:spPr>
                </pic:pic>
              </a:graphicData>
            </a:graphic>
          </wp:inline>
        </w:drawing>
      </w:r>
    </w:p>
    <w:p w14:paraId="4D9AB58F">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（二）企业人才梯队完善</w:t>
      </w:r>
    </w:p>
    <w:p w14:paraId="0094DB13">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协助企业搭建分层分类的人才培养体系，针对新员工、骨干员工、管理人员分别设计培训计划，助力企业储备核心人才。通过培训，成功实现新员工转正率提升，骨干员工晋升率提高，为企业长期发展提供了人才支撑。</w:t>
      </w:r>
    </w:p>
    <w:p w14:paraId="3440388A">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（三）企业满意度较高</w:t>
      </w:r>
    </w:p>
    <w:p w14:paraId="447295D6">
      <w:pPr>
        <w:ind w:firstLine="600" w:firstLineChars="200"/>
        <w:jc w:val="right"/>
        <w:outlineLvl w:val="9"/>
        <w:rPr>
          <w:rFonts w:hint="eastAsia" w:ascii="仿宋" w:hAnsi="仿宋" w:eastAsia="仿宋" w:cs="仿宋"/>
          <w:sz w:val="30"/>
          <w:szCs w:val="30"/>
        </w:rPr>
      </w:pPr>
      <w:r>
        <w:rPr>
          <w:rFonts w:hint="eastAsia" w:ascii="仿宋" w:hAnsi="仿宋" w:eastAsia="仿宋" w:cs="仿宋"/>
          <w:sz w:val="30"/>
          <w:szCs w:val="30"/>
        </w:rPr>
        <w:t>通过问卷调查与实地走访，收集企业对培训服务的满意度评价。结果显示，企业对课程内容、师资水平、培训形式、服务响应速度的综合满意度高，形成良好的行业口碑，得到企业充分</w:t>
      </w:r>
    </w:p>
    <w:p w14:paraId="57241EB5">
      <w:pPr>
        <w:ind w:left="5700" w:hanging="5700" w:hangingChars="1900"/>
        <w:jc w:val="both"/>
        <w:outlineLvl w:val="9"/>
        <w:rPr>
          <w:rFonts w:hint="eastAsia" w:ascii="仿宋" w:hAnsi="仿宋" w:eastAsia="仿宋" w:cs="仿宋"/>
          <w:sz w:val="30"/>
          <w:szCs w:val="30"/>
        </w:rPr>
      </w:pPr>
      <w:r>
        <w:rPr>
          <w:rFonts w:hint="eastAsia" w:ascii="仿宋" w:hAnsi="仿宋" w:eastAsia="仿宋" w:cs="仿宋"/>
          <w:sz w:val="30"/>
          <w:szCs w:val="30"/>
        </w:rPr>
        <w:drawing>
          <wp:anchor distT="0" distB="0" distL="114300" distR="114300" simplePos="0" relativeHeight="251664384" behindDoc="0" locked="0" layoutInCell="1" allowOverlap="1">
            <wp:simplePos x="0" y="0"/>
            <wp:positionH relativeFrom="margin">
              <wp:posOffset>1083310</wp:posOffset>
            </wp:positionH>
            <wp:positionV relativeFrom="paragraph">
              <wp:posOffset>317500</wp:posOffset>
            </wp:positionV>
            <wp:extent cx="2313305" cy="1775460"/>
            <wp:effectExtent l="0" t="0" r="3175" b="7620"/>
            <wp:wrapThrough wrapText="bothSides">
              <wp:wrapPolygon>
                <wp:start x="0" y="0"/>
                <wp:lineTo x="0" y="21507"/>
                <wp:lineTo x="21487" y="21507"/>
                <wp:lineTo x="21487" y="0"/>
                <wp:lineTo x="0" y="0"/>
              </wp:wrapPolygon>
            </wp:wrapThrough>
            <wp:docPr id="65" name="图片 65" descr="d:\xwechat_files\cly450558870_f8ba\temp\RWTemp\2025-11\befec0c2de69908c6dc8f4df1cb7b45b\3f4352e9c29e2dbf28667f75c9400f3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d:\xwechat_files\cly450558870_f8ba\temp\RWTemp\2025-11\befec0c2de69908c6dc8f4df1cb7b45b\3f4352e9c29e2dbf28667f75c9400f3e.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a:xfrm>
                      <a:off x="0" y="0"/>
                      <a:ext cx="2313305" cy="1775460"/>
                    </a:xfrm>
                    <a:prstGeom prst="rect">
                      <a:avLst/>
                    </a:prstGeom>
                    <a:noFill/>
                    <a:ln>
                      <a:noFill/>
                    </a:ln>
                  </pic:spPr>
                </pic:pic>
              </a:graphicData>
            </a:graphic>
          </wp:anchor>
        </w:drawing>
      </w:r>
      <w:r>
        <w:rPr>
          <w:rFonts w:hint="eastAsia" w:ascii="仿宋" w:hAnsi="仿宋" w:eastAsia="仿宋" w:cs="仿宋"/>
          <w:sz w:val="30"/>
          <w:szCs w:val="30"/>
        </w:rPr>
        <w:t>的肯定。</w:t>
      </w:r>
    </w:p>
    <w:p w14:paraId="41014608">
      <w:pPr>
        <w:ind w:left="5700" w:hanging="5700" w:hangingChars="1900"/>
        <w:jc w:val="both"/>
        <w:outlineLvl w:val="9"/>
        <w:rPr>
          <w:rFonts w:hint="eastAsia" w:ascii="仿宋" w:hAnsi="仿宋" w:eastAsia="仿宋" w:cs="仿宋"/>
          <w:sz w:val="30"/>
          <w:szCs w:val="30"/>
          <w:lang w:val="en-US" w:eastAsia="zh-CN"/>
        </w:rPr>
      </w:pPr>
    </w:p>
    <w:p w14:paraId="6C2BB510">
      <w:pPr>
        <w:ind w:left="5700" w:hanging="5700" w:hangingChars="1900"/>
        <w:jc w:val="both"/>
        <w:outlineLvl w:val="9"/>
        <w:rPr>
          <w:rFonts w:hint="eastAsia" w:ascii="仿宋" w:hAnsi="仿宋" w:eastAsia="仿宋" w:cs="仿宋"/>
          <w:sz w:val="30"/>
          <w:szCs w:val="30"/>
          <w:lang w:val="en-US" w:eastAsia="zh-CN"/>
        </w:rPr>
      </w:pPr>
    </w:p>
    <w:p w14:paraId="650404E5">
      <w:pPr>
        <w:ind w:left="5700" w:hanging="5700" w:hangingChars="1900"/>
        <w:jc w:val="both"/>
        <w:outlineLvl w:val="9"/>
        <w:rPr>
          <w:rFonts w:hint="eastAsia" w:ascii="仿宋" w:hAnsi="仿宋" w:eastAsia="仿宋" w:cs="仿宋"/>
          <w:sz w:val="30"/>
          <w:szCs w:val="30"/>
          <w:lang w:val="en-US" w:eastAsia="zh-CN"/>
        </w:rPr>
      </w:pPr>
    </w:p>
    <w:p w14:paraId="6CA1F87C">
      <w:pPr>
        <w:ind w:left="5700" w:hanging="5700" w:hangingChars="1900"/>
        <w:jc w:val="both"/>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 </w:t>
      </w:r>
    </w:p>
    <w:p w14:paraId="03731856">
      <w:pPr>
        <w:ind w:left="5700" w:hanging="5700" w:hangingChars="1900"/>
        <w:jc w:val="both"/>
        <w:outlineLvl w:val="9"/>
        <w:rPr>
          <w:rStyle w:val="40"/>
          <w:rFonts w:hint="eastAsia"/>
          <w:lang w:val="en-US" w:eastAsia="zh-CN"/>
        </w:rPr>
      </w:pPr>
      <w:r>
        <w:rPr>
          <w:rFonts w:hint="eastAsia" w:ascii="仿宋" w:hAnsi="仿宋" w:eastAsia="仿宋" w:cs="仿宋"/>
          <w:sz w:val="30"/>
          <w:szCs w:val="30"/>
          <w:lang w:val="en-US" w:eastAsia="zh-CN"/>
        </w:rPr>
        <w:t xml:space="preserve">                    </w:t>
      </w:r>
      <w:r>
        <w:rPr>
          <w:rStyle w:val="40"/>
          <w:rFonts w:hint="eastAsia"/>
          <w:lang w:val="en-US" w:eastAsia="zh-CN"/>
        </w:rPr>
        <w:t xml:space="preserve">  </w:t>
      </w:r>
    </w:p>
    <w:p w14:paraId="5DD2CCA0">
      <w:pPr>
        <w:pStyle w:val="24"/>
        <w:bidi w:val="0"/>
        <w:rPr>
          <w:rFonts w:hint="default"/>
          <w:lang w:val="en-US" w:eastAsia="zh-CN"/>
        </w:rPr>
      </w:pPr>
      <w:bookmarkStart w:id="114" w:name="_Toc5612"/>
      <w:r>
        <w:rPr>
          <w:rFonts w:hint="eastAsia"/>
          <w:lang w:val="en-US" w:eastAsia="zh-CN"/>
        </w:rPr>
        <w:t>图46  福建紫金监理咨询有限公司培训基地牌匾</w:t>
      </w:r>
      <w:bookmarkEnd w:id="114"/>
    </w:p>
    <w:p w14:paraId="6ECD8372">
      <w:pPr>
        <w:pStyle w:val="17"/>
        <w:numPr>
          <w:ilvl w:val="0"/>
          <w:numId w:val="0"/>
        </w:numPr>
        <w:spacing w:before="0" w:beforeAutospacing="0" w:after="0" w:afterAutospacing="0" w:line="580" w:lineRule="exact"/>
        <w:outlineLvl w:val="1"/>
        <w:rPr>
          <w:rFonts w:hint="eastAsia" w:ascii="黑体" w:hAnsi="黑体" w:eastAsia="黑体"/>
          <w:b/>
          <w:bCs/>
          <w:color w:val="000000"/>
          <w:sz w:val="32"/>
          <w:szCs w:val="32"/>
          <w:shd w:val="clear" w:color="auto" w:fill="FFFFFF"/>
          <w:lang w:val="en-US" w:eastAsia="zh-CN"/>
        </w:rPr>
      </w:pPr>
      <w:bookmarkStart w:id="115" w:name="_Toc9550"/>
      <w:r>
        <w:rPr>
          <w:rFonts w:hint="eastAsia" w:ascii="黑体" w:hAnsi="黑体" w:eastAsia="黑体"/>
          <w:b/>
          <w:bCs/>
          <w:color w:val="000000"/>
          <w:sz w:val="32"/>
          <w:szCs w:val="32"/>
          <w:shd w:val="clear" w:color="auto" w:fill="FFFFFF"/>
          <w:lang w:val="en-US" w:eastAsia="zh-CN"/>
        </w:rPr>
        <w:t>3.3 帮扶共进</w:t>
      </w:r>
      <w:bookmarkEnd w:id="115"/>
    </w:p>
    <w:p w14:paraId="39ABEA1B">
      <w:pPr>
        <w:pStyle w:val="17"/>
        <w:spacing w:before="0" w:beforeAutospacing="0" w:after="0" w:afterAutospacing="0" w:line="580" w:lineRule="exact"/>
        <w:ind w:firstLine="602" w:firstLineChars="200"/>
        <w:outlineLvl w:val="2"/>
        <w:rPr>
          <w:rFonts w:hint="eastAsia" w:ascii="仿宋" w:hAnsi="仿宋" w:eastAsia="仿宋" w:cs="仿宋"/>
          <w:b/>
          <w:bCs/>
          <w:kern w:val="0"/>
          <w:sz w:val="30"/>
          <w:szCs w:val="30"/>
          <w:lang w:val="en-US" w:eastAsia="zh-CN" w:bidi="ar-SA"/>
        </w:rPr>
      </w:pPr>
      <w:bookmarkStart w:id="116" w:name="_Toc27297"/>
      <w:r>
        <w:rPr>
          <w:rFonts w:hint="eastAsia" w:ascii="仿宋" w:hAnsi="仿宋" w:eastAsia="仿宋" w:cs="仿宋"/>
          <w:b/>
          <w:bCs/>
          <w:kern w:val="0"/>
          <w:sz w:val="30"/>
          <w:szCs w:val="30"/>
          <w:lang w:val="en-US" w:eastAsia="zh-CN" w:bidi="ar-SA"/>
        </w:rPr>
        <w:t>3.3.1 服务地方经济</w:t>
      </w:r>
      <w:bookmarkEnd w:id="100"/>
      <w:bookmarkEnd w:id="101"/>
      <w:bookmarkEnd w:id="102"/>
      <w:bookmarkEnd w:id="116"/>
    </w:p>
    <w:p w14:paraId="2310E6EA">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上杭职业中专学校紧紧围绕上杭县“三三三”产业强县战略和区域经济社会发展需求，充分发挥职业教育资源优势，积极构建多元化的社会培训体系，通过开展各类精准化、实效化的培训项目，为地方经济高质量发展提供了有力的人才支撑和技能保障。</w:t>
      </w:r>
    </w:p>
    <w:p w14:paraId="05F957AD">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积极拓展社会服务职能，面向退役军人、农村劳动力、企业在职员工等不同群体，开展多层次、多领域的职业技能培训。例如，2024年成功承办“上杭县退役军人无人机操控培训班”，60名参训学员全部通过理论及实操考核，初步掌握无人机装配与飞行技能，为其在应急巡查、农业植保等领域就业创业开辟新路径；同年12月开展的“乡村直播人才培训项目”，聚焦农特产品线上营销，培育30名“新农人”掌握短视频创作与直播带货技能，有效拓宽本地农产品销售渠道，助力乡村振兴。2025年承接上杭工贸、上杭文旅联合举办“电子商务技能培训班”为其30余名在职员工开展电子商务实战培训，进一步提升参训学员的数字营销能力。</w:t>
      </w:r>
    </w:p>
    <w:p w14:paraId="2C1F5C13">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在学历提升方面，学校与福建教育学院合作举办成人高等教育，开设建筑工程技术、电子商务等多个专业，为地方在职人员提供继续教育机会，累计服务4200余人。</w:t>
      </w:r>
    </w:p>
    <w:p w14:paraId="57290A36">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通过系统化、精准化的培训服务，上杭职业中专学校不仅显著提升了参训人员的就业竞争力和创业能力，也为上杭县产业转型升级和经济社会高质量发展注入了持续动能，实现了职业教育与地方发展的同频共振、互利共赢。</w:t>
      </w:r>
    </w:p>
    <w:p w14:paraId="3A3FF91E">
      <w:pPr>
        <w:ind w:left="0" w:leftChars="0" w:firstLine="0" w:firstLineChars="0"/>
        <w:jc w:val="center"/>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drawing>
          <wp:inline distT="0" distB="0" distL="114300" distR="114300">
            <wp:extent cx="2526665" cy="1894840"/>
            <wp:effectExtent l="0" t="0" r="6985" b="10160"/>
            <wp:docPr id="31" name="图片 31" descr="IMG_20241011_083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IMG_20241011_083449"/>
                    <pic:cNvPicPr>
                      <a:picLocks noChangeAspect="1"/>
                    </pic:cNvPicPr>
                  </pic:nvPicPr>
                  <pic:blipFill>
                    <a:blip r:embed="rId68"/>
                    <a:stretch>
                      <a:fillRect/>
                    </a:stretch>
                  </pic:blipFill>
                  <pic:spPr>
                    <a:xfrm>
                      <a:off x="0" y="0"/>
                      <a:ext cx="2526665" cy="1894840"/>
                    </a:xfrm>
                    <a:prstGeom prst="rect">
                      <a:avLst/>
                    </a:prstGeom>
                  </pic:spPr>
                </pic:pic>
              </a:graphicData>
            </a:graphic>
          </wp:inline>
        </w:drawing>
      </w:r>
      <w:r>
        <w:rPr>
          <w:rFonts w:hint="eastAsia" w:ascii="宋体" w:hAnsi="宋体" w:eastAsia="宋体" w:cs="宋体"/>
          <w:sz w:val="24"/>
          <w:szCs w:val="24"/>
          <w:lang w:eastAsia="zh-CN"/>
        </w:rPr>
        <w:drawing>
          <wp:inline distT="0" distB="0" distL="114300" distR="114300">
            <wp:extent cx="2536190" cy="1901825"/>
            <wp:effectExtent l="0" t="0" r="16510" b="3175"/>
            <wp:docPr id="32" name="图片 32" descr="IMG_20241009_162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IMG_20241009_162518"/>
                    <pic:cNvPicPr>
                      <a:picLocks noChangeAspect="1"/>
                    </pic:cNvPicPr>
                  </pic:nvPicPr>
                  <pic:blipFill>
                    <a:blip r:embed="rId69"/>
                    <a:stretch>
                      <a:fillRect/>
                    </a:stretch>
                  </pic:blipFill>
                  <pic:spPr>
                    <a:xfrm>
                      <a:off x="0" y="0"/>
                      <a:ext cx="2536190" cy="1901825"/>
                    </a:xfrm>
                    <a:prstGeom prst="rect">
                      <a:avLst/>
                    </a:prstGeom>
                  </pic:spPr>
                </pic:pic>
              </a:graphicData>
            </a:graphic>
          </wp:inline>
        </w:drawing>
      </w:r>
    </w:p>
    <w:p w14:paraId="0BA5920D">
      <w:pPr>
        <w:pStyle w:val="24"/>
        <w:bidi w:val="0"/>
        <w:rPr>
          <w:rFonts w:hint="eastAsia" w:ascii="仿宋_GB2312" w:hAnsi="仿宋_GB2312"/>
          <w:lang w:val="en-US" w:eastAsia="zh-CN"/>
        </w:rPr>
      </w:pPr>
      <w:bookmarkStart w:id="117" w:name="_Toc24359"/>
      <w:r>
        <w:rPr>
          <w:rFonts w:hint="eastAsia" w:ascii="仿宋_GB2312" w:hAnsi="仿宋_GB2312"/>
          <w:lang w:val="en-US" w:eastAsia="zh-CN"/>
        </w:rPr>
        <w:t>图47  上杭职业中专学校退役军人无人机操控培训现场</w:t>
      </w:r>
      <w:bookmarkEnd w:id="117"/>
    </w:p>
    <w:p w14:paraId="268F5794">
      <w:pPr>
        <w:spacing w:line="580" w:lineRule="exact"/>
        <w:ind w:firstLine="602" w:firstLineChars="200"/>
        <w:outlineLvl w:val="2"/>
        <w:rPr>
          <w:rFonts w:hint="eastAsia" w:ascii="仿宋" w:hAnsi="仿宋" w:eastAsia="仿宋" w:cs="仿宋"/>
          <w:b/>
          <w:bCs/>
          <w:kern w:val="0"/>
          <w:sz w:val="30"/>
          <w:szCs w:val="30"/>
          <w:lang w:val="en-US" w:eastAsia="zh-CN" w:bidi="ar-SA"/>
        </w:rPr>
      </w:pPr>
      <w:bookmarkStart w:id="118" w:name="_Toc24514"/>
      <w:r>
        <w:rPr>
          <w:rFonts w:hint="eastAsia" w:ascii="仿宋" w:hAnsi="仿宋" w:eastAsia="仿宋" w:cs="仿宋"/>
          <w:b/>
          <w:bCs/>
          <w:kern w:val="0"/>
          <w:sz w:val="30"/>
          <w:szCs w:val="30"/>
          <w:lang w:val="en-US" w:eastAsia="zh-CN" w:bidi="ar-SA"/>
        </w:rPr>
        <w:t>3.3.2助力地方经济发展</w:t>
      </w:r>
      <w:bookmarkEnd w:id="118"/>
    </w:p>
    <w:p w14:paraId="15262501">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1.推动产业升级，提升地方建筑行业竞争力</w:t>
      </w:r>
    </w:p>
    <w:p w14:paraId="4566D226">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随着建筑行业的快速发展，新技术、新工艺、新材料不断涌现，对建筑企业的技术水平和管理能力提出了更高的要求。上杭县建筑人才培训中心通过开展各类培训活动，帮助建筑企业员工及时了解和掌握行业最新动态和技术，推动企业技术创新和管理升级，从而提升地方建筑行业的整体竞争力。</w:t>
      </w:r>
    </w:p>
    <w:p w14:paraId="1ECDB029">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在管理能力提升方面，我中心机构开设了建筑企业管理、项目管理、工程造价管理、安全管理等一系列管理类课程，邀请行业资深专家和企业高管进行授课，分享成功经验和管理技巧。通过培训，建筑企业管理人员的管理理念得到更新，管理水平显著提高。许多企业在项目管理中引入先进的管理方法和工具，如项目管理软件、成本控制体系等，实现了项目管理的精细化和科学化，有效提高了项目的质量和效益。</w:t>
      </w:r>
    </w:p>
    <w:p w14:paraId="4124D435">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2.促进就业，稳定地方经济社会发展</w:t>
      </w:r>
    </w:p>
    <w:p w14:paraId="4CDE7387">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就业是民生之本，创业是就业之源。上杭县建筑人才培训中心积极响应国家就业创业政策，通过开展多样化的培训和服务，为建筑行业从业人员提供了广阔的就业创业空间，为稳定地方经济社会发展做出了积极贡献。在就业方面，机构与地方众多建筑企业建立了长期稳定的合作关系，为学员搭建了便捷的就业渠道。帮助学员了解就业市场需求，提升就业竞争力。在满足市场需求的同时，也为地方经济发展注入了新的活力。</w:t>
      </w:r>
    </w:p>
    <w:p w14:paraId="141CBDCA">
      <w:pPr>
        <w:spacing w:line="580" w:lineRule="exact"/>
        <w:ind w:firstLine="602" w:firstLineChars="200"/>
        <w:outlineLvl w:val="2"/>
        <w:rPr>
          <w:rFonts w:hint="eastAsia" w:ascii="仿宋" w:hAnsi="仿宋" w:eastAsia="仿宋" w:cs="仿宋"/>
          <w:b/>
          <w:bCs/>
          <w:kern w:val="0"/>
          <w:sz w:val="30"/>
          <w:szCs w:val="30"/>
          <w:lang w:val="en-US" w:eastAsia="zh-CN" w:bidi="ar-SA"/>
        </w:rPr>
      </w:pPr>
      <w:bookmarkStart w:id="119" w:name="_Toc23109"/>
      <w:bookmarkStart w:id="120" w:name="_Toc28098"/>
      <w:bookmarkStart w:id="121" w:name="_Toc10790"/>
      <w:bookmarkStart w:id="122" w:name="_Toc22940"/>
      <w:r>
        <w:rPr>
          <w:rFonts w:hint="eastAsia" w:ascii="仿宋" w:hAnsi="仿宋" w:eastAsia="仿宋" w:cs="仿宋"/>
          <w:b/>
          <w:bCs/>
          <w:kern w:val="0"/>
          <w:sz w:val="30"/>
          <w:szCs w:val="30"/>
          <w:lang w:val="en-US" w:eastAsia="zh-CN" w:bidi="ar-SA"/>
        </w:rPr>
        <w:t>3.3.3服务乡村振兴</w:t>
      </w:r>
      <w:bookmarkEnd w:id="119"/>
      <w:bookmarkEnd w:id="120"/>
      <w:bookmarkEnd w:id="121"/>
      <w:bookmarkEnd w:id="122"/>
    </w:p>
    <w:p w14:paraId="01D9E67F">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上杭职业中专学校积极响应国家乡村振兴战略部署，立足县域经济发展实际，充分发挥职业教育资源优势，系统构建涵盖技能培训、继续教育、技能鉴定与校企合作的综合服务体系，为乡村人才振兴提供有力支撑。学校紧扣乡村产业发展需求与人才短板，精准对接地方特色，持续开展多领域、多层次的短期技能提升项目。面向农村劳动力、新型职业农民、建筑工匠、保育护理等群体，开设电子商务运营、农村建筑技艺等实用课程，年均培训达1.5万余人次，显著增强了学员的就业竞争力与创业能力，赢得社会广泛认可。</w:t>
      </w:r>
    </w:p>
    <w:p w14:paraId="158985F6">
      <w:pPr>
        <w:ind w:firstLine="600" w:firstLineChars="200"/>
        <w:outlineLvl w:val="9"/>
        <w:rPr>
          <w:rFonts w:hint="eastAsia" w:ascii="仿宋" w:hAnsi="仿宋" w:eastAsia="仿宋" w:cs="仿宋"/>
          <w:sz w:val="30"/>
          <w:szCs w:val="30"/>
          <w:lang w:eastAsia="zh-CN"/>
        </w:rPr>
      </w:pPr>
      <w:r>
        <w:rPr>
          <w:rFonts w:hint="eastAsia" w:ascii="仿宋" w:hAnsi="仿宋" w:eastAsia="仿宋" w:cs="仿宋"/>
          <w:sz w:val="30"/>
          <w:szCs w:val="30"/>
          <w:lang w:val="en-US" w:eastAsia="zh-CN"/>
        </w:rPr>
        <w:t>学校聚焦数字经济时代农村电商发展需求，创新培育模式，着力打造乡村直播人才培训中心。通过打造乡村直播人才培育高地，切实推动了职业教育与乡村振兴的深度融合，探索出了一条以人才振兴带动产业振兴、以技能提升促进农民增收的特色发展路径，为新时代农业农村现代化建设贡献了坚实的职教力量。</w:t>
      </w:r>
    </w:p>
    <w:p w14:paraId="203E4C4B">
      <w:pPr>
        <w:ind w:left="0" w:leftChars="0" w:firstLine="0" w:firstLineChars="0"/>
        <w:outlineLvl w:val="9"/>
        <w:rPr>
          <w:rFonts w:hint="eastAsia" w:ascii="仿宋_GB2312" w:eastAsia="仿宋_GB2312"/>
          <w:sz w:val="32"/>
          <w:szCs w:val="32"/>
          <w:lang w:eastAsia="zh-CN"/>
        </w:rPr>
      </w:pPr>
      <w:r>
        <w:rPr>
          <w:rFonts w:hint="eastAsia"/>
          <w:sz w:val="28"/>
          <w:szCs w:val="28"/>
          <w:lang w:eastAsia="zh-CN"/>
        </w:rPr>
        <w:drawing>
          <wp:inline distT="0" distB="0" distL="114300" distR="114300">
            <wp:extent cx="2613660" cy="1960880"/>
            <wp:effectExtent l="0" t="0" r="15240" b="1270"/>
            <wp:docPr id="33" name="图片 33" descr="IMG_3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IMG_3421"/>
                    <pic:cNvPicPr>
                      <a:picLocks noChangeAspect="1"/>
                    </pic:cNvPicPr>
                  </pic:nvPicPr>
                  <pic:blipFill>
                    <a:blip r:embed="rId70"/>
                    <a:stretch>
                      <a:fillRect/>
                    </a:stretch>
                  </pic:blipFill>
                  <pic:spPr>
                    <a:xfrm>
                      <a:off x="0" y="0"/>
                      <a:ext cx="2613660" cy="1960880"/>
                    </a:xfrm>
                    <a:prstGeom prst="rect">
                      <a:avLst/>
                    </a:prstGeom>
                  </pic:spPr>
                </pic:pic>
              </a:graphicData>
            </a:graphic>
          </wp:inline>
        </w:drawing>
      </w:r>
      <w:r>
        <w:rPr>
          <w:rFonts w:hint="eastAsia" w:eastAsiaTheme="minorEastAsia"/>
          <w:sz w:val="28"/>
          <w:szCs w:val="28"/>
          <w:lang w:eastAsia="zh-CN"/>
        </w:rPr>
        <w:drawing>
          <wp:inline distT="0" distB="0" distL="114300" distR="114300">
            <wp:extent cx="2586355" cy="1959610"/>
            <wp:effectExtent l="0" t="0" r="4445" b="2540"/>
            <wp:docPr id="34" name="图片 34" descr="IMG_3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IMG_3435"/>
                    <pic:cNvPicPr>
                      <a:picLocks noChangeAspect="1"/>
                    </pic:cNvPicPr>
                  </pic:nvPicPr>
                  <pic:blipFill>
                    <a:blip r:embed="rId71"/>
                    <a:stretch>
                      <a:fillRect/>
                    </a:stretch>
                  </pic:blipFill>
                  <pic:spPr>
                    <a:xfrm>
                      <a:off x="0" y="0"/>
                      <a:ext cx="2586355" cy="1959610"/>
                    </a:xfrm>
                    <a:prstGeom prst="rect">
                      <a:avLst/>
                    </a:prstGeom>
                  </pic:spPr>
                </pic:pic>
              </a:graphicData>
            </a:graphic>
          </wp:inline>
        </w:drawing>
      </w:r>
    </w:p>
    <w:p w14:paraId="629F1DB8">
      <w:pPr>
        <w:pStyle w:val="24"/>
        <w:bidi w:val="0"/>
        <w:rPr>
          <w:rFonts w:hint="eastAsia" w:ascii="仿宋_GB2312" w:hAnsi="仿宋_GB2312"/>
          <w:lang w:val="en-US" w:eastAsia="zh-CN"/>
        </w:rPr>
      </w:pPr>
      <w:bookmarkStart w:id="123" w:name="_Toc4003"/>
      <w:r>
        <w:rPr>
          <w:rFonts w:hint="eastAsia" w:ascii="仿宋_GB2312" w:hAnsi="仿宋_GB2312"/>
          <w:lang w:val="en-US" w:eastAsia="zh-CN"/>
        </w:rPr>
        <w:t>图48  上杭职业中专学校乡村直播人才培训现场</w:t>
      </w:r>
      <w:bookmarkEnd w:id="123"/>
    </w:p>
    <w:p w14:paraId="53D6DDA5">
      <w:pPr>
        <w:spacing w:line="580" w:lineRule="exact"/>
        <w:ind w:firstLine="602" w:firstLineChars="200"/>
        <w:outlineLvl w:val="2"/>
        <w:rPr>
          <w:rFonts w:hint="eastAsia" w:ascii="楷体_GB2312" w:hAnsi="楷体_GB2312" w:eastAsia="楷体_GB2312" w:cs="楷体_GB2312"/>
          <w:b/>
          <w:bCs/>
          <w:kern w:val="0"/>
          <w:sz w:val="32"/>
          <w:szCs w:val="32"/>
          <w:lang w:val="en-US" w:eastAsia="zh-CN" w:bidi="ar-SA"/>
        </w:rPr>
      </w:pPr>
      <w:bookmarkStart w:id="124" w:name="_Toc383"/>
      <w:bookmarkStart w:id="125" w:name="_Toc8569"/>
      <w:bookmarkStart w:id="126" w:name="_Toc28365"/>
      <w:bookmarkStart w:id="127" w:name="_Toc20343"/>
      <w:r>
        <w:rPr>
          <w:rFonts w:hint="eastAsia" w:ascii="仿宋" w:hAnsi="仿宋" w:eastAsia="仿宋" w:cs="仿宋"/>
          <w:b/>
          <w:bCs/>
          <w:kern w:val="0"/>
          <w:sz w:val="30"/>
          <w:szCs w:val="30"/>
          <w:lang w:val="en-US" w:eastAsia="zh-CN" w:bidi="ar-SA"/>
        </w:rPr>
        <w:t>3.3.4服务地方社区</w:t>
      </w:r>
      <w:bookmarkEnd w:id="124"/>
      <w:bookmarkEnd w:id="125"/>
      <w:bookmarkEnd w:id="126"/>
      <w:bookmarkEnd w:id="127"/>
      <w:r>
        <w:rPr>
          <w:rFonts w:hint="eastAsia" w:ascii="楷体_GB2312" w:hAnsi="楷体_GB2312" w:eastAsia="楷体_GB2312" w:cs="楷体_GB2312"/>
          <w:b/>
          <w:bCs/>
          <w:kern w:val="0"/>
          <w:sz w:val="32"/>
          <w:szCs w:val="32"/>
          <w:lang w:val="en-US" w:eastAsia="zh-CN" w:bidi="ar-SA"/>
        </w:rPr>
        <w:t xml:space="preserve"> </w:t>
      </w:r>
    </w:p>
    <w:p w14:paraId="45597C82">
      <w:pPr>
        <w:spacing w:line="580" w:lineRule="exact"/>
        <w:ind w:firstLine="643" w:firstLineChars="200"/>
        <w:outlineLvl w:val="9"/>
        <w:rPr>
          <w:rFonts w:hint="eastAsia" w:ascii="仿宋" w:hAnsi="仿宋" w:eastAsia="仿宋" w:cs="仿宋"/>
          <w:sz w:val="30"/>
          <w:szCs w:val="30"/>
          <w:lang w:val="en-US" w:eastAsia="zh-CN"/>
        </w:rPr>
      </w:pPr>
      <w:r>
        <w:rPr>
          <w:rFonts w:hint="eastAsia" w:ascii="楷体_GB2312" w:hAnsi="楷体_GB2312" w:eastAsia="楷体_GB2312" w:cs="楷体_GB2312"/>
          <w:b/>
          <w:bCs/>
          <w:kern w:val="0"/>
          <w:sz w:val="32"/>
          <w:szCs w:val="32"/>
          <w:lang w:val="en-US" w:eastAsia="zh-CN" w:bidi="ar-SA"/>
        </w:rPr>
        <w:t>聚力双拥共建。</w:t>
      </w:r>
      <w:r>
        <w:rPr>
          <w:rFonts w:hint="eastAsia" w:ascii="仿宋" w:hAnsi="仿宋" w:eastAsia="仿宋" w:cs="仿宋"/>
          <w:sz w:val="30"/>
          <w:szCs w:val="30"/>
          <w:lang w:val="en-US" w:eastAsia="zh-CN"/>
        </w:rPr>
        <w:t>上杭职业中专学校始终将服务军民融合、支持国防建设作为重要使命，积极发挥职业教育资源优势，构建了全方位、多层次的退役军人服务与培训体系，成为推动地方双拥工作走深走实的重要力量。</w:t>
      </w:r>
    </w:p>
    <w:p w14:paraId="196DC795">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作为“福建省退役军人就业创业园地”和“龙岩市退役军人就业创业基地”，学校持续深化与县退役军人事务局、人武部等单位的协作，共同开展形式多样、内容丰富的培训项目。2024年，学校承办了“上杭县退役军人无人机操控培训班”，围绕多旋翼无人机装配、调试与飞行等内容，对60名退役军人进行系统培训，助力他们掌握新兴技能，拓展就业新路径。2025年，学校又圆满完成了“退役士兵适应性培训暨返乡主题系列活动”，通过政策解读、职业规划、红色教育、现场招聘等模块，帮助退役士兵实现从军营到社会的顺利过渡，夯实就业创业基础。</w:t>
      </w:r>
    </w:p>
    <w:p w14:paraId="549F750E">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通过一系列扎实举措，上杭职业中专学校不仅为退役军人实现高质量就业创业提供了有力支撑，也为巩固军政军民团结、推动军民融合深度发展贡献了职教智慧与力量，持续书写新时代双拥共建的生动篇章。</w:t>
      </w:r>
    </w:p>
    <w:p w14:paraId="2C42358D">
      <w:pPr>
        <w:ind w:left="0" w:leftChars="0" w:firstLine="0" w:firstLineChars="0"/>
        <w:outlineLvl w:val="9"/>
        <w:rPr>
          <w:rFonts w:hint="eastAsia" w:ascii="仿宋_GB2312" w:eastAsia="仿宋_GB2312"/>
          <w:sz w:val="30"/>
          <w:szCs w:val="30"/>
          <w:lang w:eastAsia="zh-CN"/>
        </w:rPr>
      </w:pPr>
      <w:r>
        <w:rPr>
          <w:rFonts w:hint="eastAsia" w:ascii="仿宋_GB2312" w:eastAsia="仿宋_GB2312"/>
          <w:sz w:val="30"/>
          <w:szCs w:val="30"/>
          <w:lang w:eastAsia="zh-CN"/>
        </w:rPr>
        <w:drawing>
          <wp:inline distT="0" distB="0" distL="114300" distR="114300">
            <wp:extent cx="2604770" cy="1953895"/>
            <wp:effectExtent l="0" t="0" r="5080" b="8255"/>
            <wp:docPr id="35" name="图片 35" descr="5c28bece7af25ff5e9f82b504a17e4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5c28bece7af25ff5e9f82b504a17e44e"/>
                    <pic:cNvPicPr>
                      <a:picLocks noChangeAspect="1"/>
                    </pic:cNvPicPr>
                  </pic:nvPicPr>
                  <pic:blipFill>
                    <a:blip r:embed="rId72"/>
                    <a:stretch>
                      <a:fillRect/>
                    </a:stretch>
                  </pic:blipFill>
                  <pic:spPr>
                    <a:xfrm>
                      <a:off x="0" y="0"/>
                      <a:ext cx="2604770" cy="1953895"/>
                    </a:xfrm>
                    <a:prstGeom prst="rect">
                      <a:avLst/>
                    </a:prstGeom>
                  </pic:spPr>
                </pic:pic>
              </a:graphicData>
            </a:graphic>
          </wp:inline>
        </w:drawing>
      </w:r>
      <w:r>
        <w:rPr>
          <w:rFonts w:hint="eastAsia" w:ascii="仿宋_GB2312" w:eastAsia="仿宋_GB2312"/>
          <w:sz w:val="30"/>
          <w:szCs w:val="30"/>
          <w:lang w:eastAsia="zh-CN"/>
        </w:rPr>
        <w:drawing>
          <wp:inline distT="0" distB="0" distL="114300" distR="114300">
            <wp:extent cx="2609850" cy="1957705"/>
            <wp:effectExtent l="0" t="0" r="0" b="4445"/>
            <wp:docPr id="36" name="图片 36" descr="dfbe24748b52d5281ab050d7898fbf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dfbe24748b52d5281ab050d7898fbf19"/>
                    <pic:cNvPicPr>
                      <a:picLocks noChangeAspect="1"/>
                    </pic:cNvPicPr>
                  </pic:nvPicPr>
                  <pic:blipFill>
                    <a:blip r:embed="rId73"/>
                    <a:stretch>
                      <a:fillRect/>
                    </a:stretch>
                  </pic:blipFill>
                  <pic:spPr>
                    <a:xfrm>
                      <a:off x="0" y="0"/>
                      <a:ext cx="2609850" cy="1957705"/>
                    </a:xfrm>
                    <a:prstGeom prst="rect">
                      <a:avLst/>
                    </a:prstGeom>
                  </pic:spPr>
                </pic:pic>
              </a:graphicData>
            </a:graphic>
          </wp:inline>
        </w:drawing>
      </w:r>
    </w:p>
    <w:p w14:paraId="2DA70674">
      <w:pPr>
        <w:pStyle w:val="24"/>
        <w:bidi w:val="0"/>
        <w:rPr>
          <w:rFonts w:hint="eastAsia" w:ascii="华文楷体" w:hAnsi="华文楷体" w:eastAsia="华文楷体" w:cs="华文楷体"/>
          <w:b/>
          <w:bCs/>
          <w:color w:val="FF0000"/>
          <w:kern w:val="2"/>
          <w:sz w:val="24"/>
          <w:szCs w:val="24"/>
          <w:lang w:val="en-US" w:eastAsia="zh-CN" w:bidi="ar-SA"/>
        </w:rPr>
      </w:pPr>
      <w:bookmarkStart w:id="128" w:name="_Toc16535"/>
      <w:r>
        <w:rPr>
          <w:rFonts w:hint="eastAsia" w:ascii="仿宋_GB2312" w:hAnsi="仿宋_GB2312"/>
          <w:lang w:val="en-US" w:eastAsia="zh-CN"/>
        </w:rPr>
        <w:t>图49 上杭职业中专学校退役士兵适应性培训现场</w:t>
      </w:r>
      <w:bookmarkEnd w:id="128"/>
    </w:p>
    <w:p w14:paraId="5F821D1B">
      <w:pPr>
        <w:spacing w:line="580" w:lineRule="exact"/>
        <w:ind w:firstLine="643" w:firstLineChars="200"/>
        <w:outlineLvl w:val="9"/>
        <w:rPr>
          <w:rFonts w:hint="eastAsia" w:ascii="仿宋" w:hAnsi="仿宋" w:eastAsia="仿宋" w:cs="仿宋"/>
          <w:sz w:val="30"/>
          <w:szCs w:val="30"/>
          <w:lang w:val="en-US" w:eastAsia="zh-CN"/>
        </w:rPr>
      </w:pPr>
      <w:r>
        <w:rPr>
          <w:rFonts w:hint="eastAsia" w:ascii="楷体_GB2312" w:hAnsi="楷体_GB2312" w:eastAsia="楷体_GB2312" w:cs="楷体_GB2312"/>
          <w:b/>
          <w:bCs/>
          <w:kern w:val="0"/>
          <w:sz w:val="32"/>
          <w:szCs w:val="32"/>
          <w:lang w:val="en-US" w:eastAsia="zh-CN" w:bidi="ar-SA"/>
        </w:rPr>
        <w:t>聚力颐养康乐</w:t>
      </w:r>
      <w:bookmarkStart w:id="129" w:name="_Toc3533"/>
      <w:bookmarkStart w:id="130" w:name="_Toc18021"/>
      <w:bookmarkStart w:id="131" w:name="_Toc21548"/>
      <w:r>
        <w:rPr>
          <w:rFonts w:hint="eastAsia" w:ascii="华文楷体" w:hAnsi="华文楷体" w:eastAsia="华文楷体" w:cs="华文楷体"/>
          <w:b/>
          <w:bCs/>
          <w:color w:val="auto"/>
          <w:kern w:val="2"/>
          <w:sz w:val="28"/>
          <w:szCs w:val="28"/>
          <w:lang w:val="en-US" w:eastAsia="zh-CN" w:bidi="ar-SA"/>
        </w:rPr>
        <w:t>。</w:t>
      </w:r>
      <w:r>
        <w:rPr>
          <w:rFonts w:hint="eastAsia" w:ascii="仿宋" w:hAnsi="仿宋" w:eastAsia="仿宋" w:cs="仿宋"/>
          <w:sz w:val="30"/>
          <w:szCs w:val="30"/>
          <w:lang w:val="en-US" w:eastAsia="zh-CN"/>
        </w:rPr>
        <w:t>上杭职业中专学校积极响应国家关于发展老年教育、推动健康养老的号召，依托“上杭县老年大学职专校区”，立足地方实际，探索构建以“康养融合、身心共育”为特色的老年教育新模式。</w:t>
      </w:r>
    </w:p>
    <w:p w14:paraId="287ACFE6">
      <w:pPr>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t>学校紧密结合老年群体健康生活与精神文化需求，开设陈氏太极（39式）、太极养生功、婴幼儿照护等实用课程，将传统养生智慧与现代应急技能有机融合，累计培养学员188人。学校坚持“增长知识、陶冶情操、健康长寿、余热生辉”的育人理念，推动老年教育从“老有所学”向“老有所为”深化发展，助力构建包含健康教育、文体活动与社会服务在内的县域康养教育体系。</w:t>
      </w:r>
    </w:p>
    <w:p w14:paraId="76F145C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outlineLvl w:val="9"/>
        <w:rPr>
          <w:rFonts w:hint="eastAsia" w:ascii="仿宋_GB2312" w:eastAsia="仿宋_GB2312"/>
          <w:sz w:val="30"/>
          <w:szCs w:val="30"/>
          <w:lang w:eastAsia="zh-CN"/>
        </w:rPr>
      </w:pPr>
      <w:r>
        <w:rPr>
          <w:rFonts w:hint="eastAsia" w:ascii="仿宋_GB2312" w:eastAsia="仿宋_GB2312"/>
          <w:sz w:val="30"/>
          <w:szCs w:val="30"/>
          <w:lang w:eastAsia="zh-CN"/>
        </w:rPr>
        <w:drawing>
          <wp:inline distT="0" distB="0" distL="114300" distR="114300">
            <wp:extent cx="2503170" cy="1877695"/>
            <wp:effectExtent l="0" t="0" r="11430" b="8255"/>
            <wp:docPr id="37" name="图片 37" descr="aaf6880f164e818d3da03c61ce58f4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aaf6880f164e818d3da03c61ce58f49d"/>
                    <pic:cNvPicPr>
                      <a:picLocks noChangeAspect="1"/>
                    </pic:cNvPicPr>
                  </pic:nvPicPr>
                  <pic:blipFill>
                    <a:blip r:embed="rId74"/>
                    <a:stretch>
                      <a:fillRect/>
                    </a:stretch>
                  </pic:blipFill>
                  <pic:spPr>
                    <a:xfrm>
                      <a:off x="0" y="0"/>
                      <a:ext cx="2503170" cy="1877695"/>
                    </a:xfrm>
                    <a:prstGeom prst="rect">
                      <a:avLst/>
                    </a:prstGeom>
                  </pic:spPr>
                </pic:pic>
              </a:graphicData>
            </a:graphic>
          </wp:inline>
        </w:drawing>
      </w:r>
      <w:r>
        <w:rPr>
          <w:rFonts w:hint="eastAsia" w:ascii="仿宋_GB2312" w:eastAsia="仿宋_GB2312"/>
          <w:sz w:val="30"/>
          <w:szCs w:val="30"/>
          <w:lang w:eastAsia="zh-CN"/>
        </w:rPr>
        <w:drawing>
          <wp:inline distT="0" distB="0" distL="114300" distR="114300">
            <wp:extent cx="2513965" cy="1885950"/>
            <wp:effectExtent l="0" t="0" r="635" b="0"/>
            <wp:docPr id="38" name="图片 38" descr="e09b3f224c1acdc625b414b6738fe5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e09b3f224c1acdc625b414b6738fe54f"/>
                    <pic:cNvPicPr>
                      <a:picLocks noChangeAspect="1"/>
                    </pic:cNvPicPr>
                  </pic:nvPicPr>
                  <pic:blipFill>
                    <a:blip r:embed="rId75"/>
                    <a:stretch>
                      <a:fillRect/>
                    </a:stretch>
                  </pic:blipFill>
                  <pic:spPr>
                    <a:xfrm>
                      <a:off x="0" y="0"/>
                      <a:ext cx="2513965" cy="1885950"/>
                    </a:xfrm>
                    <a:prstGeom prst="rect">
                      <a:avLst/>
                    </a:prstGeom>
                  </pic:spPr>
                </pic:pic>
              </a:graphicData>
            </a:graphic>
          </wp:inline>
        </w:drawing>
      </w:r>
    </w:p>
    <w:p w14:paraId="4AE51DE8">
      <w:pPr>
        <w:pStyle w:val="24"/>
        <w:bidi w:val="0"/>
        <w:rPr>
          <w:rFonts w:hint="default" w:ascii="仿宋_GB2312" w:hAnsi="仿宋_GB2312"/>
          <w:lang w:val="en-US" w:eastAsia="zh-CN"/>
        </w:rPr>
      </w:pPr>
      <w:bookmarkStart w:id="132" w:name="_Toc29105"/>
      <w:r>
        <w:rPr>
          <w:rFonts w:hint="eastAsia" w:ascii="仿宋_GB2312" w:hAnsi="仿宋_GB2312"/>
          <w:lang w:val="en-US" w:eastAsia="zh-CN"/>
        </w:rPr>
        <w:t>图50  上杭职业中专学校老年大学教学现场</w:t>
      </w:r>
      <w:bookmarkEnd w:id="132"/>
    </w:p>
    <w:bookmarkEnd w:id="129"/>
    <w:bookmarkEnd w:id="130"/>
    <w:bookmarkEnd w:id="131"/>
    <w:p w14:paraId="1DC553F0">
      <w:pPr>
        <w:spacing w:line="580" w:lineRule="exact"/>
        <w:ind w:firstLine="602" w:firstLineChars="200"/>
        <w:outlineLvl w:val="2"/>
        <w:rPr>
          <w:rFonts w:hint="eastAsia" w:ascii="仿宋" w:hAnsi="仿宋" w:eastAsia="仿宋" w:cs="仿宋"/>
          <w:b/>
          <w:bCs/>
          <w:kern w:val="0"/>
          <w:sz w:val="30"/>
          <w:szCs w:val="30"/>
          <w:lang w:val="en-US" w:eastAsia="zh-CN" w:bidi="ar-SA"/>
        </w:rPr>
      </w:pPr>
      <w:bookmarkStart w:id="133" w:name="_Toc6741"/>
      <w:r>
        <w:rPr>
          <w:rFonts w:hint="eastAsia" w:ascii="仿宋" w:hAnsi="仿宋" w:eastAsia="仿宋" w:cs="仿宋"/>
          <w:b/>
          <w:bCs/>
          <w:kern w:val="0"/>
          <w:sz w:val="30"/>
          <w:szCs w:val="30"/>
          <w:lang w:val="en-US" w:eastAsia="zh-CN" w:bidi="ar-SA"/>
        </w:rPr>
        <w:t>3.3.5 服务对口地区</w:t>
      </w:r>
      <w:bookmarkEnd w:id="133"/>
    </w:p>
    <w:p w14:paraId="0B3058CA">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学校始终以区域协同发展战略为指引，聚焦职业教育高质量发展目标，深入推进校际对口合作与县际帮扶工作，构建起“优势互补、互促共进”的教育协作体系，取得显著成效。</w:t>
      </w:r>
    </w:p>
    <w:p w14:paraId="6E6D6490">
      <w:pPr>
        <w:ind w:firstLine="602" w:firstLineChars="200"/>
        <w:outlineLvl w:val="9"/>
        <w:rPr>
          <w:rFonts w:hint="eastAsia" w:ascii="仿宋" w:hAnsi="仿宋" w:eastAsia="仿宋" w:cs="仿宋"/>
          <w:sz w:val="30"/>
          <w:szCs w:val="30"/>
          <w:lang w:val="en-US" w:eastAsia="zh-CN"/>
        </w:rPr>
      </w:pPr>
      <w:r>
        <w:rPr>
          <w:rFonts w:hint="eastAsia" w:ascii="仿宋" w:hAnsi="仿宋" w:eastAsia="仿宋" w:cs="仿宋"/>
          <w:b/>
          <w:bCs/>
          <w:sz w:val="30"/>
          <w:szCs w:val="30"/>
          <w:lang w:val="en-US" w:eastAsia="zh-CN"/>
        </w:rPr>
        <w:t>校际对口合作。</w:t>
      </w:r>
      <w:r>
        <w:rPr>
          <w:rFonts w:hint="eastAsia" w:ascii="仿宋" w:hAnsi="仿宋" w:eastAsia="仿宋" w:cs="仿宋"/>
          <w:sz w:val="30"/>
          <w:szCs w:val="30"/>
          <w:lang w:val="en-US" w:eastAsia="zh-CN"/>
        </w:rPr>
        <w:t>围绕番禺与上杭对口合作部署，我校与广州多所院校开展深度合作。2023年7月，我校党总支书记、校长张先琳一行赴番禺区职业技术学校交流，签订《对口交流与合作协议》，确立“优势互补、共建双赢”原则，为后续合作奠定基础。2024年2月，广州番禺职业技术学院珠宝学院李坤院长一行来访，共同为“杨井兰技能大师工作室”揭牌，引入行业名师资源。2024年4月，县教育局副局长李春生及我校领导再次赴番禺，与当地院校探讨产学研合作、教师挂职、实习实训等事宜，明确以“首饰设计与制作”专业为核心，构建金铜产业技能人才全链条培养体系，助力产业延链补链。2024年秋季，我校新增“首饰设计与制作”专业并招生，完成专业调研（赴紫金矿业集团等企业）、人才培养方案制定及实训室建设，推动专业从无到有、快速落地。</w:t>
      </w:r>
    </w:p>
    <w:p w14:paraId="24A6B9AC">
      <w:pPr>
        <w:ind w:firstLine="602" w:firstLineChars="200"/>
        <w:outlineLvl w:val="9"/>
        <w:rPr>
          <w:rFonts w:hint="eastAsia" w:ascii="仿宋" w:hAnsi="仿宋" w:eastAsia="仿宋" w:cs="仿宋"/>
          <w:sz w:val="30"/>
          <w:szCs w:val="30"/>
        </w:rPr>
      </w:pPr>
      <w:r>
        <w:rPr>
          <w:rFonts w:hint="eastAsia" w:ascii="仿宋" w:hAnsi="仿宋" w:eastAsia="仿宋" w:cs="仿宋"/>
          <w:b/>
          <w:bCs/>
          <w:sz w:val="30"/>
          <w:szCs w:val="30"/>
          <w:lang w:val="en-US" w:eastAsia="zh-CN"/>
        </w:rPr>
        <w:t>办学经验互鉴。</w:t>
      </w:r>
      <w:r>
        <w:rPr>
          <w:rFonts w:hint="eastAsia" w:ascii="仿宋" w:hAnsi="仿宋" w:eastAsia="仿宋" w:cs="仿宋"/>
          <w:sz w:val="30"/>
          <w:szCs w:val="30"/>
          <w:lang w:val="en-US" w:eastAsia="zh-CN"/>
        </w:rPr>
        <w:t>2025年3月，泉州华侨职业中专学校王湘副校长一行来校，通过校园参观、座谈研讨，分享“双高校”建设经验，我校也交流了服务社会、职教高考等办学亮点，加深互信与合作共识。</w:t>
      </w:r>
    </w:p>
    <w:p w14:paraId="2F445FE6">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firstLine="600" w:firstLineChars="200"/>
        <w:textAlignment w:val="auto"/>
        <w:outlineLvl w:val="9"/>
        <w:rPr>
          <w:rFonts w:hint="eastAsia" w:ascii="仿宋" w:hAnsi="仿宋" w:eastAsia="仿宋" w:cs="仿宋"/>
          <w:sz w:val="30"/>
          <w:szCs w:val="30"/>
        </w:rPr>
      </w:pPr>
      <w:r>
        <w:rPr>
          <w:rFonts w:hint="eastAsia" w:ascii="仿宋" w:hAnsi="仿宋" w:eastAsia="仿宋" w:cs="仿宋"/>
          <w:sz w:val="30"/>
          <w:szCs w:val="30"/>
          <w:lang w:eastAsia="zh-CN"/>
        </w:rPr>
        <w:drawing>
          <wp:anchor distT="0" distB="0" distL="114300" distR="114300" simplePos="0" relativeHeight="251663360" behindDoc="0" locked="0" layoutInCell="1" allowOverlap="1">
            <wp:simplePos x="0" y="0"/>
            <wp:positionH relativeFrom="column">
              <wp:posOffset>556895</wp:posOffset>
            </wp:positionH>
            <wp:positionV relativeFrom="paragraph">
              <wp:posOffset>192405</wp:posOffset>
            </wp:positionV>
            <wp:extent cx="4076700" cy="2765425"/>
            <wp:effectExtent l="0" t="0" r="7620" b="8255"/>
            <wp:wrapNone/>
            <wp:docPr id="39" name="图片 2" descr="微信图片_2025031815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 descr="微信图片_20250318151740"/>
                    <pic:cNvPicPr>
                      <a:picLocks noChangeAspect="1"/>
                    </pic:cNvPicPr>
                  </pic:nvPicPr>
                  <pic:blipFill>
                    <a:blip r:embed="rId76"/>
                    <a:srcRect t="9560"/>
                    <a:stretch>
                      <a:fillRect/>
                    </a:stretch>
                  </pic:blipFill>
                  <pic:spPr>
                    <a:xfrm>
                      <a:off x="0" y="0"/>
                      <a:ext cx="4076700" cy="2765425"/>
                    </a:xfrm>
                    <a:prstGeom prst="rect">
                      <a:avLst/>
                    </a:prstGeom>
                    <a:noFill/>
                    <a:ln>
                      <a:noFill/>
                    </a:ln>
                  </pic:spPr>
                </pic:pic>
              </a:graphicData>
            </a:graphic>
          </wp:anchor>
        </w:drawing>
      </w:r>
    </w:p>
    <w:p w14:paraId="5E6E14C1">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firstLine="600" w:firstLineChars="200"/>
        <w:textAlignment w:val="auto"/>
        <w:outlineLvl w:val="9"/>
        <w:rPr>
          <w:rFonts w:hint="eastAsia" w:ascii="仿宋" w:hAnsi="仿宋" w:eastAsia="仿宋" w:cs="仿宋"/>
          <w:sz w:val="30"/>
          <w:szCs w:val="30"/>
        </w:rPr>
      </w:pPr>
    </w:p>
    <w:p w14:paraId="45FF0A41">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firstLine="600" w:firstLineChars="200"/>
        <w:textAlignment w:val="auto"/>
        <w:outlineLvl w:val="9"/>
        <w:rPr>
          <w:rFonts w:hint="eastAsia" w:ascii="仿宋" w:hAnsi="仿宋" w:eastAsia="仿宋" w:cs="仿宋"/>
          <w:sz w:val="30"/>
          <w:szCs w:val="30"/>
        </w:rPr>
      </w:pPr>
    </w:p>
    <w:p w14:paraId="09C39653">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firstLine="600" w:firstLineChars="200"/>
        <w:textAlignment w:val="auto"/>
        <w:outlineLvl w:val="9"/>
        <w:rPr>
          <w:rFonts w:hint="eastAsia" w:ascii="仿宋" w:hAnsi="仿宋" w:eastAsia="仿宋" w:cs="仿宋"/>
          <w:sz w:val="30"/>
          <w:szCs w:val="30"/>
        </w:rPr>
      </w:pPr>
    </w:p>
    <w:p w14:paraId="4D736980">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firstLine="600" w:firstLineChars="200"/>
        <w:textAlignment w:val="auto"/>
        <w:outlineLvl w:val="9"/>
        <w:rPr>
          <w:rFonts w:hint="eastAsia" w:ascii="仿宋" w:hAnsi="仿宋" w:eastAsia="仿宋" w:cs="仿宋"/>
          <w:sz w:val="30"/>
          <w:szCs w:val="30"/>
        </w:rPr>
      </w:pPr>
    </w:p>
    <w:p w14:paraId="2167BF13">
      <w:pPr>
        <w:keepNext w:val="0"/>
        <w:keepLines w:val="0"/>
        <w:pageBreakBefore w:val="0"/>
        <w:widowControl/>
        <w:suppressLineNumbers w:val="0"/>
        <w:tabs>
          <w:tab w:val="left" w:pos="0"/>
        </w:tabs>
        <w:kinsoku/>
        <w:wordWrap/>
        <w:overflowPunct/>
        <w:topLinePunct w:val="0"/>
        <w:autoSpaceDE/>
        <w:autoSpaceDN/>
        <w:bidi w:val="0"/>
        <w:adjustRightInd/>
        <w:snapToGrid/>
        <w:spacing w:beforeAutospacing="0" w:afterAutospacing="0" w:line="560" w:lineRule="exact"/>
        <w:ind w:left="0" w:leftChars="0" w:firstLine="0" w:firstLineChars="0"/>
        <w:textAlignment w:val="auto"/>
        <w:outlineLvl w:val="9"/>
        <w:rPr>
          <w:rFonts w:hint="eastAsia" w:ascii="仿宋" w:hAnsi="仿宋" w:eastAsia="仿宋" w:cs="仿宋"/>
          <w:sz w:val="30"/>
          <w:szCs w:val="30"/>
        </w:rPr>
      </w:pPr>
    </w:p>
    <w:p w14:paraId="379C2974">
      <w:pPr>
        <w:pStyle w:val="6"/>
        <w:outlineLvl w:val="9"/>
        <w:rPr>
          <w:rFonts w:hint="eastAsia" w:ascii="仿宋" w:hAnsi="仿宋" w:eastAsia="仿宋" w:cs="仿宋"/>
          <w:sz w:val="30"/>
          <w:szCs w:val="30"/>
        </w:rPr>
      </w:pPr>
    </w:p>
    <w:p w14:paraId="00FD55B5">
      <w:pPr>
        <w:pStyle w:val="6"/>
        <w:outlineLvl w:val="9"/>
        <w:rPr>
          <w:rFonts w:hint="eastAsia" w:ascii="仿宋" w:hAnsi="仿宋" w:eastAsia="仿宋" w:cs="仿宋"/>
          <w:sz w:val="30"/>
          <w:szCs w:val="30"/>
        </w:rPr>
      </w:pPr>
    </w:p>
    <w:p w14:paraId="0332AD2F">
      <w:pPr>
        <w:jc w:val="both"/>
        <w:outlineLvl w:val="9"/>
        <w:rPr>
          <w:rFonts w:hint="eastAsia" w:ascii="仿宋" w:hAnsi="仿宋" w:eastAsia="仿宋" w:cs="仿宋"/>
          <w:b w:val="0"/>
          <w:bCs w:val="0"/>
          <w:sz w:val="24"/>
          <w:szCs w:val="24"/>
          <w:lang w:val="en-US" w:eastAsia="zh-CN"/>
        </w:rPr>
      </w:pPr>
    </w:p>
    <w:p w14:paraId="3C4E7A02">
      <w:pPr>
        <w:pStyle w:val="24"/>
        <w:bidi w:val="0"/>
        <w:rPr>
          <w:rFonts w:hint="eastAsia"/>
          <w:lang w:val="en-US" w:eastAsia="zh-CN"/>
        </w:rPr>
      </w:pPr>
      <w:bookmarkStart w:id="134" w:name="_Toc12531"/>
      <w:r>
        <w:rPr>
          <w:rFonts w:hint="eastAsia"/>
          <w:lang w:val="en-US" w:eastAsia="zh-CN"/>
        </w:rPr>
        <w:t xml:space="preserve">图51  </w:t>
      </w:r>
      <w:r>
        <w:rPr>
          <w:rFonts w:hint="eastAsia"/>
        </w:rPr>
        <w:t>2025年3月，泉州华侨职业中专学校</w:t>
      </w:r>
      <w:r>
        <w:rPr>
          <w:rFonts w:hint="eastAsia"/>
          <w:lang w:val="en-US" w:eastAsia="zh-CN"/>
        </w:rPr>
        <w:t>到</w:t>
      </w:r>
      <w:r>
        <w:rPr>
          <w:rFonts w:hint="eastAsia"/>
          <w:lang w:eastAsia="zh-CN"/>
        </w:rPr>
        <w:t>我校交流</w:t>
      </w:r>
      <w:bookmarkEnd w:id="134"/>
    </w:p>
    <w:p w14:paraId="71BFC373">
      <w:pPr>
        <w:ind w:firstLine="602" w:firstLineChars="200"/>
        <w:outlineLvl w:val="9"/>
        <w:rPr>
          <w:rFonts w:hint="eastAsia" w:ascii="仿宋" w:hAnsi="仿宋" w:eastAsia="仿宋" w:cs="仿宋"/>
          <w:sz w:val="30"/>
          <w:szCs w:val="30"/>
          <w:lang w:eastAsia="zh-CN"/>
        </w:rPr>
      </w:pPr>
      <w:r>
        <w:rPr>
          <w:rFonts w:hint="eastAsia" w:ascii="仿宋" w:hAnsi="仿宋" w:eastAsia="仿宋" w:cs="仿宋"/>
          <w:b/>
          <w:bCs/>
          <w:sz w:val="30"/>
          <w:szCs w:val="30"/>
        </w:rPr>
        <w:t>县际校际帮扶</w:t>
      </w:r>
      <w:r>
        <w:rPr>
          <w:rFonts w:hint="eastAsia" w:ascii="仿宋" w:hAnsi="仿宋" w:eastAsia="仿宋" w:cs="仿宋"/>
          <w:b/>
          <w:bCs/>
          <w:sz w:val="30"/>
          <w:szCs w:val="30"/>
          <w:lang w:eastAsia="zh-CN"/>
        </w:rPr>
        <w:t>。</w:t>
      </w:r>
      <w:r>
        <w:rPr>
          <w:rFonts w:hint="eastAsia" w:ascii="仿宋" w:hAnsi="仿宋" w:eastAsia="仿宋" w:cs="仿宋"/>
          <w:sz w:val="30"/>
          <w:szCs w:val="30"/>
        </w:rPr>
        <w:t>我校作为省级示范校，与武平职业中专学校、永定侨荣职业中专学校签订帮扶协议，开展全方位支持</w:t>
      </w:r>
      <w:r>
        <w:rPr>
          <w:rFonts w:hint="eastAsia" w:ascii="仿宋" w:hAnsi="仿宋" w:eastAsia="仿宋" w:cs="仿宋"/>
          <w:sz w:val="30"/>
          <w:szCs w:val="30"/>
          <w:lang w:eastAsia="zh-CN"/>
        </w:rPr>
        <w:t>。</w:t>
      </w:r>
    </w:p>
    <w:p w14:paraId="42855197">
      <w:pPr>
        <w:outlineLvl w:val="9"/>
        <w:rPr>
          <w:rFonts w:hint="eastAsia" w:ascii="仿宋" w:hAnsi="仿宋" w:eastAsia="仿宋" w:cs="仿宋"/>
          <w:sz w:val="30"/>
          <w:szCs w:val="30"/>
        </w:rPr>
      </w:pPr>
      <w:r>
        <w:rPr>
          <w:rFonts w:hint="eastAsia" w:ascii="仿宋" w:hAnsi="仿宋" w:eastAsia="仿宋" w:cs="仿宋"/>
          <w:sz w:val="30"/>
          <w:szCs w:val="30"/>
        </w:rPr>
        <w:t>教学能力提升</w:t>
      </w:r>
      <w:r>
        <w:rPr>
          <w:rFonts w:hint="eastAsia" w:ascii="仿宋" w:hAnsi="仿宋" w:eastAsia="仿宋" w:cs="仿宋"/>
          <w:sz w:val="30"/>
          <w:szCs w:val="30"/>
          <w:lang w:eastAsia="zh-CN"/>
        </w:rPr>
        <w:t>。</w:t>
      </w:r>
      <w:r>
        <w:rPr>
          <w:rFonts w:hint="eastAsia" w:ascii="仿宋" w:hAnsi="仿宋" w:eastAsia="仿宋" w:cs="仿宋"/>
          <w:sz w:val="30"/>
          <w:szCs w:val="30"/>
        </w:rPr>
        <w:t>组织优秀教师团队定期开展公开课、教学研讨会，共享先进教学方法；针对两校实际需求制定个性化计划，有效提升教师教学水平。</w:t>
      </w:r>
    </w:p>
    <w:p w14:paraId="55C8D99A">
      <w:pPr>
        <w:ind w:firstLine="602" w:firstLineChars="200"/>
        <w:outlineLvl w:val="9"/>
        <w:rPr>
          <w:rFonts w:hint="eastAsia" w:ascii="仿宋" w:hAnsi="仿宋" w:eastAsia="仿宋" w:cs="仿宋"/>
          <w:sz w:val="30"/>
          <w:szCs w:val="30"/>
          <w:lang w:eastAsia="zh-CN"/>
        </w:rPr>
      </w:pPr>
      <w:r>
        <w:rPr>
          <w:rFonts w:hint="eastAsia" w:ascii="仿宋" w:hAnsi="仿宋" w:eastAsia="仿宋" w:cs="仿宋"/>
          <w:b/>
          <w:bCs/>
          <w:sz w:val="30"/>
          <w:szCs w:val="30"/>
        </w:rPr>
        <w:t>班主任队伍建设</w:t>
      </w:r>
      <w:r>
        <w:rPr>
          <w:rFonts w:hint="eastAsia" w:ascii="仿宋" w:hAnsi="仿宋" w:eastAsia="仿宋" w:cs="仿宋"/>
          <w:b/>
          <w:bCs/>
          <w:sz w:val="30"/>
          <w:szCs w:val="30"/>
          <w:lang w:eastAsia="zh-CN"/>
        </w:rPr>
        <w:t>。</w:t>
      </w:r>
      <w:r>
        <w:rPr>
          <w:rFonts w:hint="eastAsia" w:ascii="仿宋" w:hAnsi="仿宋" w:eastAsia="仿宋" w:cs="仿宋"/>
          <w:sz w:val="30"/>
          <w:szCs w:val="30"/>
        </w:rPr>
        <w:t>组建班主任联盟，通过论坛、班级管理案例分析等活动，强化班主任专业能力；搭建线上交流平台，实现日常工作实时沟通。</w:t>
      </w:r>
      <w:r>
        <w:rPr>
          <w:rFonts w:hint="eastAsia" w:ascii="仿宋" w:hAnsi="仿宋" w:eastAsia="仿宋" w:cs="仿宋"/>
          <w:sz w:val="30"/>
          <w:szCs w:val="30"/>
          <w:lang w:val="en-US" w:eastAsia="zh-CN"/>
        </w:rPr>
        <w:t>2025年5月</w:t>
      </w:r>
      <w:r>
        <w:rPr>
          <w:rFonts w:hint="eastAsia" w:ascii="仿宋" w:hAnsi="仿宋" w:eastAsia="仿宋" w:cs="仿宋"/>
          <w:sz w:val="30"/>
          <w:szCs w:val="30"/>
          <w:lang w:eastAsia="zh-CN"/>
        </w:rPr>
        <w:t>接待永定侨荣职业中专学校两个批次的班主任跟岗学习（由一名中层干部带队、</w:t>
      </w:r>
      <w:r>
        <w:rPr>
          <w:rFonts w:hint="eastAsia" w:ascii="仿宋" w:hAnsi="仿宋" w:eastAsia="仿宋" w:cs="仿宋"/>
          <w:sz w:val="30"/>
          <w:szCs w:val="30"/>
          <w:lang w:val="en-US" w:eastAsia="zh-CN"/>
        </w:rPr>
        <w:t>5</w:t>
      </w:r>
      <w:r>
        <w:rPr>
          <w:rFonts w:hint="eastAsia" w:ascii="仿宋" w:hAnsi="仿宋" w:eastAsia="仿宋" w:cs="仿宋"/>
          <w:sz w:val="30"/>
          <w:szCs w:val="30"/>
          <w:lang w:eastAsia="zh-CN"/>
        </w:rPr>
        <w:t>名近年入职的新教师、新任</w:t>
      </w:r>
      <w:r>
        <w:rPr>
          <w:rFonts w:hint="eastAsia" w:ascii="仿宋" w:hAnsi="仿宋" w:eastAsia="仿宋" w:cs="仿宋"/>
          <w:sz w:val="30"/>
          <w:szCs w:val="30"/>
        </w:rPr>
        <w:t>班主任</w:t>
      </w:r>
      <w:r>
        <w:rPr>
          <w:rFonts w:hint="eastAsia" w:ascii="仿宋" w:hAnsi="仿宋" w:eastAsia="仿宋" w:cs="仿宋"/>
          <w:sz w:val="30"/>
          <w:szCs w:val="30"/>
          <w:lang w:eastAsia="zh-CN"/>
        </w:rPr>
        <w:t>），</w:t>
      </w:r>
      <w:r>
        <w:rPr>
          <w:rFonts w:hint="eastAsia" w:ascii="仿宋" w:hAnsi="仿宋" w:eastAsia="仿宋" w:cs="仿宋"/>
          <w:sz w:val="30"/>
          <w:szCs w:val="30"/>
        </w:rPr>
        <w:t>学习周期为</w:t>
      </w:r>
      <w:r>
        <w:rPr>
          <w:rFonts w:hint="eastAsia" w:ascii="仿宋" w:hAnsi="仿宋" w:eastAsia="仿宋" w:cs="仿宋"/>
          <w:sz w:val="30"/>
          <w:szCs w:val="30"/>
          <w:lang w:eastAsia="zh-CN"/>
        </w:rPr>
        <w:t>1周，</w:t>
      </w:r>
      <w:r>
        <w:rPr>
          <w:rFonts w:hint="eastAsia" w:ascii="仿宋" w:hAnsi="仿宋" w:eastAsia="仿宋" w:cs="仿宋"/>
          <w:sz w:val="30"/>
          <w:szCs w:val="30"/>
        </w:rPr>
        <w:t>旨在通过实践学习、交流互动，提升班主任的综合管理能力和专业素养</w:t>
      </w:r>
      <w:r>
        <w:rPr>
          <w:rFonts w:hint="eastAsia" w:ascii="仿宋" w:hAnsi="仿宋" w:eastAsia="仿宋" w:cs="仿宋"/>
          <w:sz w:val="30"/>
          <w:szCs w:val="30"/>
          <w:lang w:eastAsia="zh-CN"/>
        </w:rPr>
        <w:t>。</w:t>
      </w:r>
    </w:p>
    <w:p w14:paraId="0A985C14">
      <w:pPr>
        <w:spacing w:line="288" w:lineRule="auto"/>
        <w:jc w:val="both"/>
        <w:outlineLvl w:val="9"/>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eastAsia="zh-CN"/>
        </w:rPr>
        <w:drawing>
          <wp:inline distT="0" distB="0" distL="114300" distR="114300">
            <wp:extent cx="5232400" cy="3924300"/>
            <wp:effectExtent l="0" t="0" r="6350" b="0"/>
            <wp:docPr id="40" name="图片 10" descr="微信图片_20251202095914_22_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0" descr="微信图片_20251202095914_22_213"/>
                    <pic:cNvPicPr>
                      <a:picLocks noChangeAspect="1"/>
                    </pic:cNvPicPr>
                  </pic:nvPicPr>
                  <pic:blipFill>
                    <a:blip r:embed="rId77"/>
                    <a:stretch>
                      <a:fillRect/>
                    </a:stretch>
                  </pic:blipFill>
                  <pic:spPr>
                    <a:xfrm>
                      <a:off x="0" y="0"/>
                      <a:ext cx="5232400" cy="3924300"/>
                    </a:xfrm>
                    <a:prstGeom prst="rect">
                      <a:avLst/>
                    </a:prstGeom>
                    <a:noFill/>
                    <a:ln>
                      <a:noFill/>
                    </a:ln>
                  </pic:spPr>
                </pic:pic>
              </a:graphicData>
            </a:graphic>
          </wp:inline>
        </w:drawing>
      </w:r>
    </w:p>
    <w:p w14:paraId="20564DAF">
      <w:pPr>
        <w:pStyle w:val="24"/>
        <w:bidi w:val="0"/>
        <w:rPr>
          <w:rFonts w:hint="eastAsia"/>
          <w:lang w:val="en-US" w:eastAsia="zh-CN"/>
        </w:rPr>
      </w:pPr>
      <w:bookmarkStart w:id="135" w:name="_Toc24619"/>
      <w:r>
        <w:rPr>
          <w:rFonts w:hint="eastAsia"/>
          <w:lang w:val="en-US" w:eastAsia="zh-CN"/>
        </w:rPr>
        <w:t>图52  2025年5月永定侨荣职业中专学校新班主任到我校跟岗学习</w:t>
      </w:r>
      <w:bookmarkEnd w:id="135"/>
    </w:p>
    <w:p w14:paraId="2C43428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firstLine="600" w:firstLineChars="200"/>
        <w:textAlignment w:val="auto"/>
        <w:outlineLvl w:val="9"/>
        <w:rPr>
          <w:rFonts w:hint="eastAsia" w:ascii="华文楷体" w:hAnsi="华文楷体" w:eastAsia="华文楷体" w:cs="华文楷体"/>
          <w:b/>
          <w:bCs/>
          <w:color w:val="FF0000"/>
          <w:kern w:val="2"/>
          <w:sz w:val="28"/>
          <w:szCs w:val="28"/>
          <w:lang w:val="en-US" w:eastAsia="zh-CN" w:bidi="ar-SA"/>
        </w:rPr>
      </w:pPr>
      <w:r>
        <w:rPr>
          <w:rStyle w:val="22"/>
          <w:rFonts w:hint="eastAsia" w:ascii="仿宋" w:hAnsi="仿宋" w:eastAsia="仿宋" w:cs="仿宋"/>
          <w:b w:val="0"/>
          <w:bCs w:val="0"/>
          <w:sz w:val="30"/>
          <w:szCs w:val="30"/>
        </w:rPr>
        <w:t>示范校建设支持</w:t>
      </w:r>
      <w:r>
        <w:rPr>
          <w:rFonts w:hint="eastAsia" w:ascii="仿宋" w:hAnsi="仿宋" w:eastAsia="仿宋" w:cs="仿宋"/>
          <w:b w:val="0"/>
          <w:bCs w:val="0"/>
          <w:sz w:val="30"/>
          <w:szCs w:val="30"/>
          <w:lang w:eastAsia="zh-CN"/>
        </w:rPr>
        <w:t>。</w:t>
      </w:r>
      <w:r>
        <w:rPr>
          <w:rFonts w:hint="eastAsia" w:ascii="仿宋" w:hAnsi="仿宋" w:eastAsia="仿宋" w:cs="仿宋"/>
          <w:b w:val="0"/>
          <w:bCs w:val="0"/>
          <w:sz w:val="30"/>
          <w:szCs w:val="30"/>
        </w:rPr>
        <w:t>发挥自身优势，提供示范校建设经验、成功案例，协助两校明确建设目标与方向，共同探讨创新亮点，为打造特色示范校提供有力支撑。</w:t>
      </w:r>
    </w:p>
    <w:p w14:paraId="6F16C156">
      <w:pPr>
        <w:spacing w:line="580" w:lineRule="exact"/>
        <w:ind w:firstLine="602" w:firstLineChars="200"/>
        <w:outlineLvl w:val="2"/>
        <w:rPr>
          <w:rFonts w:hint="eastAsia" w:ascii="仿宋" w:hAnsi="仿宋" w:eastAsia="仿宋" w:cs="仿宋"/>
          <w:b/>
          <w:bCs/>
          <w:kern w:val="0"/>
          <w:sz w:val="30"/>
          <w:szCs w:val="30"/>
          <w:lang w:val="en-US" w:eastAsia="zh-CN" w:bidi="ar-SA"/>
        </w:rPr>
      </w:pPr>
      <w:bookmarkStart w:id="136" w:name="_Toc11334"/>
      <w:r>
        <w:rPr>
          <w:rFonts w:hint="eastAsia" w:ascii="仿宋" w:hAnsi="仿宋" w:eastAsia="仿宋" w:cs="仿宋"/>
          <w:b/>
          <w:bCs/>
          <w:kern w:val="0"/>
          <w:sz w:val="30"/>
          <w:szCs w:val="30"/>
          <w:lang w:val="en-US" w:eastAsia="zh-CN" w:bidi="ar-SA"/>
        </w:rPr>
        <w:t>3.3.6 服务闽台合作(无）</w:t>
      </w:r>
      <w:bookmarkEnd w:id="136"/>
    </w:p>
    <w:p w14:paraId="6EBD6407">
      <w:pPr>
        <w:pStyle w:val="17"/>
        <w:spacing w:before="0" w:beforeAutospacing="0" w:after="0" w:afterAutospacing="0" w:line="580" w:lineRule="exact"/>
        <w:outlineLvl w:val="0"/>
        <w:rPr>
          <w:rFonts w:hint="eastAsia" w:ascii="黑体" w:hAnsi="黑体" w:eastAsia="黑体"/>
          <w:b/>
          <w:bCs/>
          <w:color w:val="000000"/>
          <w:sz w:val="32"/>
          <w:szCs w:val="32"/>
          <w:shd w:val="clear" w:color="auto" w:fill="FFFFFF"/>
          <w:lang w:eastAsia="zh-CN"/>
        </w:rPr>
      </w:pPr>
      <w:bookmarkStart w:id="137" w:name="_Toc2327"/>
      <w:r>
        <w:rPr>
          <w:rFonts w:hint="eastAsia" w:ascii="黑体" w:hAnsi="黑体" w:eastAsia="黑体"/>
          <w:b/>
          <w:bCs/>
          <w:color w:val="000000"/>
          <w:sz w:val="32"/>
          <w:szCs w:val="32"/>
          <w:shd w:val="clear" w:color="auto" w:fill="FFFFFF"/>
        </w:rPr>
        <w:t>4</w:t>
      </w:r>
      <w:r>
        <w:rPr>
          <w:rFonts w:hint="eastAsia" w:ascii="黑体" w:hAnsi="黑体" w:eastAsia="黑体"/>
          <w:b/>
          <w:bCs/>
          <w:color w:val="000000"/>
          <w:sz w:val="32"/>
          <w:szCs w:val="32"/>
          <w:shd w:val="clear" w:color="auto" w:fill="FFFFFF"/>
          <w:lang w:val="en-US" w:eastAsia="zh-CN"/>
        </w:rPr>
        <w:t xml:space="preserve"> </w:t>
      </w:r>
      <w:r>
        <w:rPr>
          <w:rFonts w:hint="eastAsia" w:ascii="黑体" w:hAnsi="黑体" w:eastAsia="黑体"/>
          <w:b/>
          <w:bCs/>
          <w:color w:val="000000"/>
          <w:sz w:val="32"/>
          <w:szCs w:val="32"/>
          <w:shd w:val="clear" w:color="auto" w:fill="FFFFFF"/>
        </w:rPr>
        <w:t>文化传承</w:t>
      </w:r>
      <w:bookmarkEnd w:id="137"/>
    </w:p>
    <w:p w14:paraId="47AC889C">
      <w:pPr>
        <w:spacing w:line="580" w:lineRule="exact"/>
        <w:outlineLvl w:val="1"/>
        <w:rPr>
          <w:rFonts w:hint="eastAsia" w:ascii="华文楷体" w:hAnsi="华文楷体" w:eastAsia="华文楷体" w:cs="华文楷体"/>
          <w:b/>
          <w:bCs/>
          <w:color w:val="FF0000"/>
          <w:kern w:val="2"/>
          <w:sz w:val="28"/>
          <w:szCs w:val="28"/>
          <w:lang w:val="en-US" w:eastAsia="zh-CN" w:bidi="ar-SA"/>
        </w:rPr>
      </w:pPr>
      <w:bookmarkStart w:id="138" w:name="_Toc25131"/>
      <w:r>
        <w:rPr>
          <w:rFonts w:hint="eastAsia" w:ascii="仿宋_GB2312" w:hAnsi="Yu Mincho Light" w:eastAsia="仿宋_GB2312" w:cs="Yu Mincho Light"/>
          <w:b/>
          <w:bCs/>
          <w:sz w:val="32"/>
        </w:rPr>
        <w:t>4.1传承劳模精神、劳动精神、工匠精神</w:t>
      </w:r>
      <w:bookmarkEnd w:id="138"/>
    </w:p>
    <w:p w14:paraId="244CF03A">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为深入贯彻落实党的二十届四中会不会精神，学校多措并举促进劳动精神、劳模精神、工匠精神的传承。组织学生积极参加各项日常劳动，做好教室、宿舍、清洁区卫生，每周五下午第三节安排全校性劳动课或者进行大扫除，全校2700多人每周都参加日常生活劳动。依托泮境综合教育实践基地本年度组织1400多名学生参加劳动教育实践活动。每周各系各专业安排不少于6节的技能实训课程，同时积极组织学生参加技能实践劳动，同时充分调动学生积极性，组织学生参加各级技能大赛。由团委联系养心园或各系进入社区积极开展青年志愿者服务活动，一年来有300多位志愿者参加志愿服务。积极组织学生参与创新创业、勤工俭学等活动，与校园食堂、小卖部等联系，组织一些家庭困难学生进行勤工俭学。促进学生增强了劳动观念，提高了劳动能力，养成良好的劳动习惯，有效提升了学生的劳动素养。</w:t>
      </w:r>
    </w:p>
    <w:p w14:paraId="02AD0F85">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5420" cy="2960370"/>
            <wp:effectExtent l="0" t="0" r="11430" b="11430"/>
            <wp:docPr id="41" name="图片 41" descr="微信图片_20250922154216_31_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微信图片_20250922154216_31_173"/>
                    <pic:cNvPicPr>
                      <a:picLocks noChangeAspect="1"/>
                    </pic:cNvPicPr>
                  </pic:nvPicPr>
                  <pic:blipFill>
                    <a:blip r:embed="rId78"/>
                    <a:stretch>
                      <a:fillRect/>
                    </a:stretch>
                  </pic:blipFill>
                  <pic:spPr>
                    <a:xfrm>
                      <a:off x="0" y="0"/>
                      <a:ext cx="5265420" cy="2960370"/>
                    </a:xfrm>
                    <a:prstGeom prst="rect">
                      <a:avLst/>
                    </a:prstGeom>
                  </pic:spPr>
                </pic:pic>
              </a:graphicData>
            </a:graphic>
          </wp:inline>
        </w:drawing>
      </w:r>
    </w:p>
    <w:p w14:paraId="3277AB7E">
      <w:pPr>
        <w:jc w:val="center"/>
        <w:outlineLvl w:val="9"/>
        <w:rPr>
          <w:rFonts w:hint="eastAsia" w:ascii="仿宋" w:hAnsi="仿宋" w:eastAsia="仿宋" w:cs="仿宋"/>
          <w:b w:val="0"/>
          <w:bCs w:val="0"/>
          <w:sz w:val="24"/>
          <w:szCs w:val="24"/>
          <w:lang w:val="en-US" w:eastAsia="zh-CN"/>
        </w:rPr>
      </w:pPr>
    </w:p>
    <w:p w14:paraId="110ACDD1">
      <w:pPr>
        <w:pStyle w:val="24"/>
        <w:bidi w:val="0"/>
        <w:rPr>
          <w:rFonts w:hint="eastAsia"/>
          <w:lang w:val="en-US" w:eastAsia="zh-CN"/>
        </w:rPr>
      </w:pPr>
      <w:bookmarkStart w:id="139" w:name="_Toc7551"/>
      <w:r>
        <w:rPr>
          <w:rFonts w:hint="eastAsia"/>
          <w:lang w:val="en-US" w:eastAsia="zh-CN"/>
        </w:rPr>
        <w:t>图53  学生参加技能实训</w:t>
      </w:r>
      <w:bookmarkEnd w:id="139"/>
    </w:p>
    <w:p w14:paraId="3B07F828">
      <w:pPr>
        <w:jc w:val="center"/>
        <w:outlineLvl w:val="9"/>
        <w:rPr>
          <w:rFonts w:hint="eastAsia" w:ascii="仿宋" w:hAnsi="仿宋" w:eastAsia="仿宋" w:cs="仿宋"/>
          <w:b w:val="0"/>
          <w:bCs w:val="0"/>
          <w:sz w:val="24"/>
          <w:szCs w:val="24"/>
          <w:lang w:val="en-US" w:eastAsia="zh-CN"/>
        </w:rPr>
      </w:pPr>
    </w:p>
    <w:p w14:paraId="5A023A02">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3515" cy="2960370"/>
            <wp:effectExtent l="0" t="0" r="13335" b="11430"/>
            <wp:docPr id="42" name="图片 42" descr="微信图片_20250922154508_32_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微信图片_20250922154508_32_173"/>
                    <pic:cNvPicPr>
                      <a:picLocks noChangeAspect="1"/>
                    </pic:cNvPicPr>
                  </pic:nvPicPr>
                  <pic:blipFill>
                    <a:blip r:embed="rId79"/>
                    <a:stretch>
                      <a:fillRect/>
                    </a:stretch>
                  </pic:blipFill>
                  <pic:spPr>
                    <a:xfrm>
                      <a:off x="0" y="0"/>
                      <a:ext cx="5263515" cy="2960370"/>
                    </a:xfrm>
                    <a:prstGeom prst="rect">
                      <a:avLst/>
                    </a:prstGeom>
                  </pic:spPr>
                </pic:pic>
              </a:graphicData>
            </a:graphic>
          </wp:inline>
        </w:drawing>
      </w:r>
    </w:p>
    <w:p w14:paraId="039176B2">
      <w:pPr>
        <w:jc w:val="center"/>
        <w:outlineLvl w:val="9"/>
        <w:rPr>
          <w:rFonts w:hint="eastAsia" w:ascii="仿宋" w:hAnsi="仿宋" w:eastAsia="仿宋" w:cs="仿宋"/>
          <w:b w:val="0"/>
          <w:bCs w:val="0"/>
          <w:sz w:val="24"/>
          <w:szCs w:val="24"/>
          <w:lang w:val="en-US" w:eastAsia="zh-CN"/>
        </w:rPr>
      </w:pPr>
    </w:p>
    <w:p w14:paraId="1B5B7140">
      <w:pPr>
        <w:pStyle w:val="24"/>
        <w:bidi w:val="0"/>
        <w:rPr>
          <w:rFonts w:hint="eastAsia"/>
          <w:lang w:val="en-US" w:eastAsia="zh-CN"/>
        </w:rPr>
      </w:pPr>
      <w:bookmarkStart w:id="140" w:name="_Toc3772"/>
      <w:r>
        <w:rPr>
          <w:rFonts w:hint="eastAsia"/>
          <w:lang w:val="en-US" w:eastAsia="zh-CN"/>
        </w:rPr>
        <w:t>图54  实习指导培训</w:t>
      </w:r>
      <w:bookmarkEnd w:id="140"/>
    </w:p>
    <w:p w14:paraId="038A75DA">
      <w:pPr>
        <w:jc w:val="center"/>
        <w:outlineLvl w:val="9"/>
        <w:rPr>
          <w:rFonts w:hint="eastAsia" w:ascii="仿宋" w:hAnsi="仿宋" w:eastAsia="仿宋" w:cs="仿宋"/>
          <w:b/>
          <w:bCs/>
          <w:sz w:val="24"/>
          <w:szCs w:val="24"/>
          <w:lang w:val="en-US" w:eastAsia="zh-CN"/>
        </w:rPr>
      </w:pPr>
    </w:p>
    <w:p w14:paraId="0B9BC1C8">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1610" cy="3945890"/>
            <wp:effectExtent l="0" t="0" r="15240" b="16510"/>
            <wp:docPr id="43" name="图片 43" descr="微信图片_20251116083542_40_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微信图片_20251116083542_40_225"/>
                    <pic:cNvPicPr>
                      <a:picLocks noChangeAspect="1"/>
                    </pic:cNvPicPr>
                  </pic:nvPicPr>
                  <pic:blipFill>
                    <a:blip r:embed="rId80"/>
                    <a:stretch>
                      <a:fillRect/>
                    </a:stretch>
                  </pic:blipFill>
                  <pic:spPr>
                    <a:xfrm>
                      <a:off x="0" y="0"/>
                      <a:ext cx="5261610" cy="3945890"/>
                    </a:xfrm>
                    <a:prstGeom prst="rect">
                      <a:avLst/>
                    </a:prstGeom>
                  </pic:spPr>
                </pic:pic>
              </a:graphicData>
            </a:graphic>
          </wp:inline>
        </w:drawing>
      </w:r>
    </w:p>
    <w:p w14:paraId="01B565DF">
      <w:pPr>
        <w:jc w:val="center"/>
        <w:outlineLvl w:val="9"/>
        <w:rPr>
          <w:rFonts w:hint="eastAsia" w:ascii="仿宋" w:hAnsi="仿宋" w:eastAsia="仿宋" w:cs="仿宋"/>
          <w:b w:val="0"/>
          <w:bCs w:val="0"/>
          <w:sz w:val="24"/>
          <w:szCs w:val="24"/>
          <w:lang w:val="en-US" w:eastAsia="zh-CN"/>
        </w:rPr>
      </w:pPr>
    </w:p>
    <w:p w14:paraId="0DBB7C06">
      <w:pPr>
        <w:pStyle w:val="24"/>
        <w:bidi w:val="0"/>
        <w:rPr>
          <w:rFonts w:hint="eastAsia"/>
          <w:lang w:val="en-US" w:eastAsia="zh-CN"/>
        </w:rPr>
      </w:pPr>
      <w:bookmarkStart w:id="141" w:name="_Toc24778"/>
      <w:r>
        <w:rPr>
          <w:rFonts w:hint="eastAsia"/>
          <w:lang w:val="en-US" w:eastAsia="zh-CN"/>
        </w:rPr>
        <w:t>图55  技能比赛</w:t>
      </w:r>
      <w:bookmarkEnd w:id="141"/>
    </w:p>
    <w:p w14:paraId="61B157BC">
      <w:pPr>
        <w:jc w:val="center"/>
        <w:outlineLvl w:val="9"/>
        <w:rPr>
          <w:rFonts w:hint="eastAsia" w:ascii="仿宋" w:hAnsi="仿宋" w:eastAsia="仿宋" w:cs="仿宋"/>
          <w:b w:val="0"/>
          <w:bCs w:val="0"/>
          <w:sz w:val="24"/>
          <w:szCs w:val="24"/>
          <w:lang w:val="en-US" w:eastAsia="zh-CN"/>
        </w:rPr>
      </w:pPr>
    </w:p>
    <w:p w14:paraId="420D3249">
      <w:pPr>
        <w:jc w:val="left"/>
        <w:outlineLvl w:val="9"/>
        <w:rPr>
          <w:rFonts w:hint="eastAsia" w:ascii="仿宋" w:hAnsi="仿宋" w:eastAsia="仿宋" w:cs="仿宋"/>
          <w:b w:val="0"/>
          <w:bCs w:val="0"/>
          <w:sz w:val="24"/>
          <w:szCs w:val="24"/>
          <w:lang w:val="en-US" w:eastAsia="zh-CN"/>
        </w:rPr>
      </w:pPr>
      <w:r>
        <w:rPr>
          <w:rFonts w:hint="default" w:ascii="仿宋" w:hAnsi="仿宋" w:eastAsia="仿宋" w:cs="仿宋"/>
          <w:sz w:val="24"/>
          <w:szCs w:val="24"/>
          <w:lang w:val="en-US" w:eastAsia="zh-CN"/>
        </w:rPr>
        <w:drawing>
          <wp:inline distT="0" distB="0" distL="114300" distR="114300">
            <wp:extent cx="5264785" cy="4055745"/>
            <wp:effectExtent l="0" t="0" r="8255" b="13335"/>
            <wp:docPr id="44" name="图片 44" descr="微信图片_20250324150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微信图片_20250324150344"/>
                    <pic:cNvPicPr>
                      <a:picLocks noChangeAspect="1"/>
                    </pic:cNvPicPr>
                  </pic:nvPicPr>
                  <pic:blipFill>
                    <a:blip r:embed="rId81"/>
                    <a:stretch>
                      <a:fillRect/>
                    </a:stretch>
                  </pic:blipFill>
                  <pic:spPr>
                    <a:xfrm>
                      <a:off x="0" y="0"/>
                      <a:ext cx="5264785" cy="4055745"/>
                    </a:xfrm>
                    <a:prstGeom prst="rect">
                      <a:avLst/>
                    </a:prstGeom>
                  </pic:spPr>
                </pic:pic>
              </a:graphicData>
            </a:graphic>
          </wp:inline>
        </w:drawing>
      </w:r>
    </w:p>
    <w:p w14:paraId="5961A9CA">
      <w:pPr>
        <w:pStyle w:val="24"/>
        <w:bidi w:val="0"/>
        <w:rPr>
          <w:rFonts w:hint="eastAsia"/>
          <w:lang w:val="en-US" w:eastAsia="zh-CN"/>
        </w:rPr>
      </w:pPr>
      <w:bookmarkStart w:id="142" w:name="_Toc21766"/>
      <w:r>
        <w:rPr>
          <w:rFonts w:hint="eastAsia"/>
          <w:lang w:val="en-US" w:eastAsia="zh-CN"/>
        </w:rPr>
        <w:t>图56  参加劳动实践</w:t>
      </w:r>
      <w:bookmarkEnd w:id="142"/>
    </w:p>
    <w:p w14:paraId="0CEA49CA">
      <w:pPr>
        <w:jc w:val="left"/>
        <w:outlineLvl w:val="9"/>
        <w:rPr>
          <w:rFonts w:hint="default" w:ascii="仿宋" w:hAnsi="仿宋" w:eastAsia="仿宋" w:cs="仿宋"/>
          <w:b/>
          <w:bCs/>
          <w:sz w:val="24"/>
          <w:szCs w:val="24"/>
          <w:lang w:val="en-US" w:eastAsia="zh-CN"/>
        </w:rPr>
      </w:pPr>
      <w:r>
        <w:rPr>
          <w:rFonts w:hint="default" w:ascii="仿宋" w:hAnsi="仿宋" w:eastAsia="仿宋" w:cs="仿宋"/>
          <w:b/>
          <w:bCs/>
          <w:sz w:val="24"/>
          <w:szCs w:val="24"/>
          <w:lang w:val="en-US" w:eastAsia="zh-CN"/>
        </w:rPr>
        <w:drawing>
          <wp:inline distT="0" distB="0" distL="114300" distR="114300">
            <wp:extent cx="5264785" cy="3195955"/>
            <wp:effectExtent l="0" t="0" r="12065" b="4445"/>
            <wp:docPr id="45" name="图片 45" descr="微信图片_20250412104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微信图片_20250412104719"/>
                    <pic:cNvPicPr>
                      <a:picLocks noChangeAspect="1"/>
                    </pic:cNvPicPr>
                  </pic:nvPicPr>
                  <pic:blipFill>
                    <a:blip r:embed="rId82"/>
                    <a:stretch>
                      <a:fillRect/>
                    </a:stretch>
                  </pic:blipFill>
                  <pic:spPr>
                    <a:xfrm>
                      <a:off x="0" y="0"/>
                      <a:ext cx="5264785" cy="3195955"/>
                    </a:xfrm>
                    <a:prstGeom prst="rect">
                      <a:avLst/>
                    </a:prstGeom>
                  </pic:spPr>
                </pic:pic>
              </a:graphicData>
            </a:graphic>
          </wp:inline>
        </w:drawing>
      </w:r>
    </w:p>
    <w:p w14:paraId="461ECE2C">
      <w:pPr>
        <w:pStyle w:val="24"/>
        <w:bidi w:val="0"/>
        <w:rPr>
          <w:rFonts w:hint="eastAsia"/>
        </w:rPr>
      </w:pPr>
      <w:bookmarkStart w:id="143" w:name="_Toc26126"/>
      <w:r>
        <w:rPr>
          <w:rFonts w:hint="eastAsia"/>
          <w:lang w:val="en-US" w:eastAsia="zh-CN"/>
        </w:rPr>
        <w:t>图57 帮厨体验</w:t>
      </w:r>
      <w:bookmarkEnd w:id="143"/>
      <w:r>
        <w:rPr>
          <w:rFonts w:hint="eastAsia"/>
          <w:lang w:val="en-US" w:eastAsia="zh-CN"/>
        </w:rPr>
        <w:t xml:space="preserve"> </w:t>
      </w:r>
    </w:p>
    <w:p w14:paraId="2C5CFC5D">
      <w:pPr>
        <w:spacing w:line="580" w:lineRule="exact"/>
        <w:outlineLvl w:val="1"/>
        <w:rPr>
          <w:rFonts w:hint="eastAsia" w:ascii="仿宋_GB2312" w:hAnsi="Yu Mincho Light" w:eastAsia="仿宋_GB2312" w:cs="Yu Mincho Light"/>
          <w:b/>
          <w:bCs/>
          <w:sz w:val="32"/>
          <w:lang w:eastAsia="zh-CN"/>
        </w:rPr>
      </w:pPr>
      <w:bookmarkStart w:id="144" w:name="_Toc21003"/>
      <w:r>
        <w:rPr>
          <w:rFonts w:hint="eastAsia" w:ascii="仿宋_GB2312" w:hAnsi="Yu Mincho Light" w:eastAsia="仿宋_GB2312" w:cs="Yu Mincho Light"/>
          <w:b/>
          <w:bCs/>
          <w:sz w:val="32"/>
        </w:rPr>
        <w:t>4.2弘扬红色</w:t>
      </w:r>
      <w:r>
        <w:rPr>
          <w:rFonts w:hint="eastAsia" w:ascii="仿宋_GB2312" w:hAnsi="Yu Mincho Light" w:eastAsia="仿宋_GB2312" w:cs="Yu Mincho Light"/>
          <w:b/>
          <w:bCs/>
          <w:sz w:val="32"/>
          <w:lang w:eastAsia="zh-CN"/>
        </w:rPr>
        <w:t>基因</w:t>
      </w:r>
      <w:bookmarkEnd w:id="144"/>
    </w:p>
    <w:p w14:paraId="159D3B88">
      <w:pPr>
        <w:spacing w:line="580" w:lineRule="exact"/>
        <w:ind w:firstLine="600" w:firstLineChars="200"/>
        <w:outlineLvl w:val="1"/>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学校党总支为确保党建红色文化扎实、有效推进。一是开展 “党支部品牌”创建活动，每个支部创建一个特色品牌。二是牢牢抓住教育学习这个关键；从严拧紧思想认识“总开关”，在各系办公室布置党员先锋岗展板，宣传党建文化，引导党员认同党建红色文化，自觉“听党话、跟党走、报党恩”；三是评选积极践行“党建红色文化”的优秀党员，广泛传播典型案例和人物事迹，充分发挥示范引领作用，营造充满“正能量”的党建红色文化建设氛围。三是打造党建红色文化数字馆；四是开展党建红色文化实践活动，学校党总支通过开展主题日教育活动组织党员到红色教育基地参观学习；五是建设校园党建文化。学校同时积极组织学生开展红色文化实践活动，一是在清明节和烈士纪念日等节日开展祭奠英烈活动；二是组织学生开展教育实践活动；三是开展主题班会教育活动；四是对新生开展军事训练活动。</w:t>
      </w:r>
    </w:p>
    <w:p w14:paraId="1C965128">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54625" cy="1483360"/>
            <wp:effectExtent l="0" t="0" r="3175" b="2540"/>
            <wp:docPr id="47" name="图片 47" descr="微信图片_20251117081631_47_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微信图片_20251117081631_47_165"/>
                    <pic:cNvPicPr>
                      <a:picLocks noChangeAspect="1"/>
                    </pic:cNvPicPr>
                  </pic:nvPicPr>
                  <pic:blipFill>
                    <a:blip r:embed="rId83"/>
                    <a:stretch>
                      <a:fillRect/>
                    </a:stretch>
                  </pic:blipFill>
                  <pic:spPr>
                    <a:xfrm>
                      <a:off x="0" y="0"/>
                      <a:ext cx="5254625" cy="1483360"/>
                    </a:xfrm>
                    <a:prstGeom prst="rect">
                      <a:avLst/>
                    </a:prstGeom>
                  </pic:spPr>
                </pic:pic>
              </a:graphicData>
            </a:graphic>
          </wp:inline>
        </w:drawing>
      </w:r>
    </w:p>
    <w:p w14:paraId="17E7B363">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57800" cy="2507615"/>
            <wp:effectExtent l="0" t="0" r="0" b="6985"/>
            <wp:docPr id="48" name="图片 48" descr="微信图片_20250321145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微信图片_20250321145802"/>
                    <pic:cNvPicPr>
                      <a:picLocks noChangeAspect="1"/>
                    </pic:cNvPicPr>
                  </pic:nvPicPr>
                  <pic:blipFill>
                    <a:blip r:embed="rId84"/>
                    <a:stretch>
                      <a:fillRect/>
                    </a:stretch>
                  </pic:blipFill>
                  <pic:spPr>
                    <a:xfrm>
                      <a:off x="0" y="0"/>
                      <a:ext cx="5257800" cy="2507615"/>
                    </a:xfrm>
                    <a:prstGeom prst="rect">
                      <a:avLst/>
                    </a:prstGeom>
                  </pic:spPr>
                </pic:pic>
              </a:graphicData>
            </a:graphic>
          </wp:inline>
        </w:drawing>
      </w:r>
    </w:p>
    <w:p w14:paraId="1560EB63">
      <w:pPr>
        <w:pStyle w:val="24"/>
        <w:bidi w:val="0"/>
        <w:rPr>
          <w:rFonts w:hint="eastAsia"/>
          <w:lang w:val="en-US" w:eastAsia="zh-CN"/>
        </w:rPr>
      </w:pPr>
      <w:bookmarkStart w:id="145" w:name="_Toc8945"/>
      <w:r>
        <w:rPr>
          <w:rFonts w:hint="eastAsia"/>
          <w:lang w:val="en-US" w:eastAsia="zh-CN"/>
        </w:rPr>
        <w:t>图58 师德标兵宣传材料</w:t>
      </w:r>
      <w:bookmarkEnd w:id="145"/>
    </w:p>
    <w:p w14:paraId="24CB4814">
      <w:pPr>
        <w:jc w:val="left"/>
        <w:outlineLvl w:val="9"/>
        <w:rPr>
          <w:rFonts w:hint="default" w:ascii="仿宋" w:hAnsi="仿宋" w:eastAsia="仿宋" w:cs="仿宋"/>
          <w:b/>
          <w:bCs/>
          <w:sz w:val="24"/>
          <w:szCs w:val="24"/>
          <w:lang w:val="en-US" w:eastAsia="zh-CN"/>
        </w:rPr>
      </w:pPr>
    </w:p>
    <w:p w14:paraId="13954F41">
      <w:pPr>
        <w:jc w:val="left"/>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drawing>
          <wp:inline distT="0" distB="0" distL="114300" distR="114300">
            <wp:extent cx="5264785" cy="3978910"/>
            <wp:effectExtent l="0" t="0" r="8255" b="13970"/>
            <wp:docPr id="49" name="图片 49" descr="微信图片_2025041721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微信图片_20250417212007"/>
                    <pic:cNvPicPr>
                      <a:picLocks noChangeAspect="1"/>
                    </pic:cNvPicPr>
                  </pic:nvPicPr>
                  <pic:blipFill>
                    <a:blip r:embed="rId85"/>
                    <a:stretch>
                      <a:fillRect/>
                    </a:stretch>
                  </pic:blipFill>
                  <pic:spPr>
                    <a:xfrm>
                      <a:off x="0" y="0"/>
                      <a:ext cx="5264785" cy="3978910"/>
                    </a:xfrm>
                    <a:prstGeom prst="rect">
                      <a:avLst/>
                    </a:prstGeom>
                  </pic:spPr>
                </pic:pic>
              </a:graphicData>
            </a:graphic>
          </wp:inline>
        </w:drawing>
      </w:r>
    </w:p>
    <w:p w14:paraId="68324605">
      <w:pPr>
        <w:pStyle w:val="24"/>
        <w:bidi w:val="0"/>
        <w:rPr>
          <w:rFonts w:hint="eastAsia"/>
          <w:lang w:val="en-US" w:eastAsia="zh-CN"/>
        </w:rPr>
      </w:pPr>
      <w:bookmarkStart w:id="146" w:name="_Toc12488"/>
      <w:r>
        <w:rPr>
          <w:rFonts w:hint="eastAsia"/>
          <w:lang w:val="en-US" w:eastAsia="zh-CN"/>
        </w:rPr>
        <w:t>图59 参观红色纪念馆</w:t>
      </w:r>
      <w:bookmarkEnd w:id="146"/>
    </w:p>
    <w:p w14:paraId="590D078F">
      <w:pPr>
        <w:jc w:val="left"/>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drawing>
          <wp:inline distT="0" distB="0" distL="114300" distR="114300">
            <wp:extent cx="5253990" cy="3488055"/>
            <wp:effectExtent l="0" t="0" r="3810" b="1905"/>
            <wp:docPr id="50" name="图片 50" descr="微信图片_20250827172323_33_4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微信图片_20250827172323_33_433(1)"/>
                    <pic:cNvPicPr>
                      <a:picLocks noChangeAspect="1"/>
                    </pic:cNvPicPr>
                  </pic:nvPicPr>
                  <pic:blipFill>
                    <a:blip r:embed="rId86"/>
                    <a:stretch>
                      <a:fillRect/>
                    </a:stretch>
                  </pic:blipFill>
                  <pic:spPr>
                    <a:xfrm>
                      <a:off x="0" y="0"/>
                      <a:ext cx="5253990" cy="3488055"/>
                    </a:xfrm>
                    <a:prstGeom prst="rect">
                      <a:avLst/>
                    </a:prstGeom>
                  </pic:spPr>
                </pic:pic>
              </a:graphicData>
            </a:graphic>
          </wp:inline>
        </w:drawing>
      </w:r>
    </w:p>
    <w:p w14:paraId="1E6F7791">
      <w:pPr>
        <w:pStyle w:val="24"/>
        <w:bidi w:val="0"/>
        <w:rPr>
          <w:rFonts w:hint="eastAsia"/>
          <w:lang w:val="en-US" w:eastAsia="zh-CN"/>
        </w:rPr>
      </w:pPr>
      <w:bookmarkStart w:id="147" w:name="_Toc15473"/>
      <w:r>
        <w:rPr>
          <w:rFonts w:hint="eastAsia"/>
          <w:lang w:val="en-US" w:eastAsia="zh-CN"/>
        </w:rPr>
        <w:t>图60  学生军训活动</w:t>
      </w:r>
      <w:bookmarkEnd w:id="147"/>
    </w:p>
    <w:p w14:paraId="48166540">
      <w:pPr>
        <w:pStyle w:val="17"/>
        <w:spacing w:before="0" w:beforeAutospacing="0" w:after="0" w:afterAutospacing="0" w:line="580" w:lineRule="exact"/>
        <w:ind w:firstLine="643" w:firstLineChars="200"/>
        <w:outlineLvl w:val="1"/>
        <w:rPr>
          <w:rFonts w:hint="eastAsia" w:ascii="华文楷体" w:hAnsi="华文楷体" w:eastAsia="华文楷体" w:cs="华文楷体"/>
          <w:b/>
          <w:bCs/>
          <w:color w:val="FF0000"/>
          <w:kern w:val="2"/>
          <w:sz w:val="28"/>
          <w:szCs w:val="28"/>
          <w:lang w:val="en-US" w:eastAsia="zh-CN" w:bidi="ar-SA"/>
        </w:rPr>
      </w:pPr>
      <w:bookmarkStart w:id="148" w:name="_Toc29701"/>
      <w:r>
        <w:rPr>
          <w:rFonts w:hint="eastAsia" w:ascii="仿宋_GB2312" w:hAnsi="Yu Mincho Light" w:eastAsia="仿宋_GB2312" w:cs="Yu Mincho Light"/>
          <w:b/>
          <w:bCs/>
          <w:sz w:val="32"/>
        </w:rPr>
        <w:t>4.3传承</w:t>
      </w:r>
      <w:r>
        <w:rPr>
          <w:rFonts w:hint="eastAsia" w:ascii="仿宋_GB2312" w:hAnsi="Yu Mincho Light" w:eastAsia="仿宋_GB2312" w:cs="Yu Mincho Light"/>
          <w:b/>
          <w:bCs/>
          <w:sz w:val="32"/>
          <w:lang w:eastAsia="zh-CN"/>
        </w:rPr>
        <w:t>非遗技艺</w:t>
      </w:r>
      <w:bookmarkEnd w:id="148"/>
    </w:p>
    <w:p w14:paraId="13ADD35D">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学校致力于传承和弘扬区域优秀文化，邀请了木偶戏非遗文化传承人来校开展非遗展示活动，还组织学生学习编绳活动。通过这些活动的开展，学生们了解了区域优秀文化的历史和特点， 亲身体验了传统文化的魅力，促进了校园文化的多元发展，为学校的文化建设注入了新的活力。</w:t>
      </w:r>
    </w:p>
    <w:p w14:paraId="5DCB13DC">
      <w:pPr>
        <w:jc w:val="left"/>
        <w:outlineLvl w:val="9"/>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drawing>
          <wp:inline distT="0" distB="0" distL="114300" distR="114300">
            <wp:extent cx="5264785" cy="2701925"/>
            <wp:effectExtent l="0" t="0" r="8255" b="10795"/>
            <wp:docPr id="46" name="图片 46" descr="微信图片_20250324145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微信图片_20250324145602"/>
                    <pic:cNvPicPr>
                      <a:picLocks noChangeAspect="1"/>
                    </pic:cNvPicPr>
                  </pic:nvPicPr>
                  <pic:blipFill>
                    <a:blip r:embed="rId87"/>
                    <a:stretch>
                      <a:fillRect/>
                    </a:stretch>
                  </pic:blipFill>
                  <pic:spPr>
                    <a:xfrm>
                      <a:off x="0" y="0"/>
                      <a:ext cx="5264785" cy="2701925"/>
                    </a:xfrm>
                    <a:prstGeom prst="rect">
                      <a:avLst/>
                    </a:prstGeom>
                  </pic:spPr>
                </pic:pic>
              </a:graphicData>
            </a:graphic>
          </wp:inline>
        </w:drawing>
      </w:r>
    </w:p>
    <w:p w14:paraId="74E4EDDC">
      <w:pPr>
        <w:pStyle w:val="24"/>
        <w:bidi w:val="0"/>
        <w:rPr>
          <w:rFonts w:hint="default"/>
          <w:lang w:val="en-US" w:eastAsia="zh-CN"/>
        </w:rPr>
      </w:pPr>
      <w:bookmarkStart w:id="149" w:name="_Toc12765"/>
      <w:r>
        <w:rPr>
          <w:rFonts w:hint="eastAsia"/>
          <w:lang w:val="en-US" w:eastAsia="zh-CN"/>
        </w:rPr>
        <w:t>图61 学习编绳</w:t>
      </w:r>
      <w:bookmarkEnd w:id="149"/>
    </w:p>
    <w:p w14:paraId="60C04EC0">
      <w:pPr>
        <w:spacing w:line="580" w:lineRule="exact"/>
        <w:ind w:firstLine="643" w:firstLineChars="200"/>
        <w:outlineLvl w:val="1"/>
        <w:rPr>
          <w:rFonts w:hint="eastAsia" w:ascii="华文楷体" w:hAnsi="华文楷体" w:eastAsia="华文楷体" w:cs="华文楷体"/>
          <w:b/>
          <w:bCs/>
          <w:color w:val="FF0000"/>
          <w:kern w:val="2"/>
          <w:sz w:val="28"/>
          <w:szCs w:val="28"/>
          <w:lang w:val="en-US" w:eastAsia="zh-CN" w:bidi="ar-SA"/>
        </w:rPr>
      </w:pPr>
      <w:bookmarkStart w:id="150" w:name="_Toc20596"/>
      <w:r>
        <w:rPr>
          <w:rFonts w:hint="eastAsia" w:ascii="仿宋_GB2312" w:hAnsi="Yu Mincho Light" w:eastAsia="仿宋_GB2312" w:cs="Yu Mincho Light"/>
          <w:b/>
          <w:bCs/>
          <w:sz w:val="32"/>
        </w:rPr>
        <w:t>4.4</w:t>
      </w:r>
      <w:r>
        <w:rPr>
          <w:rFonts w:hint="eastAsia" w:ascii="仿宋_GB2312" w:hAnsi="Yu Mincho Light" w:eastAsia="仿宋_GB2312" w:cs="Yu Mincho Light"/>
          <w:b/>
          <w:bCs/>
          <w:sz w:val="32"/>
          <w:u w:val="none"/>
        </w:rPr>
        <w:t>培育（传承）</w:t>
      </w:r>
      <w:r>
        <w:rPr>
          <w:rFonts w:hint="eastAsia" w:ascii="仿宋_GB2312" w:hAnsi="Yu Mincho Light" w:eastAsia="仿宋_GB2312" w:cs="Yu Mincho Light"/>
          <w:b/>
          <w:bCs/>
          <w:sz w:val="32"/>
        </w:rPr>
        <w:t>学校特色职教文化</w:t>
      </w:r>
      <w:bookmarkEnd w:id="150"/>
    </w:p>
    <w:p w14:paraId="208367A9">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上杭，又是全国著名的“建筑之乡”， 省“优秀建筑之乡”，建筑业历史悠久。目前，有资质的建筑企业130多家，其中一级企业23家，二级企业40多家，从业人员达6万多人。我校以省重点专业——建筑专业为依托，以服务当地经济发展为目标，大力培育建筑工程专业人才。而墨斗既是建筑行业的必备工具，又蕴含有特殊的文化内涵，它作为工具的研发具有创新创业的精神，从作用上又可以赋予它校正是非曲直的标准和精益求精的工匠精神，而它长年存在于生产生活中又凝聚着劳模精神，充分体现学校“厚德修身、精技立业”办学理念，以及培养具有创新创业、精益求精精神的能工巧匠的办学目标。</w:t>
      </w:r>
    </w:p>
    <w:p w14:paraId="7B323658">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2"/>
        <w:rPr>
          <w:rFonts w:hint="eastAsia" w:ascii="仿宋" w:hAnsi="仿宋" w:eastAsia="仿宋" w:cs="仿宋"/>
          <w:b/>
          <w:bCs/>
          <w:caps w:val="0"/>
          <w:color w:val="auto"/>
          <w:kern w:val="2"/>
          <w:sz w:val="30"/>
          <w:szCs w:val="30"/>
          <w:lang w:val="en-US" w:eastAsia="zh-CN" w:bidi="ar-SA"/>
        </w:rPr>
      </w:pPr>
      <w:bookmarkStart w:id="151" w:name="_Toc21690"/>
      <w:bookmarkStart w:id="152" w:name="_Toc28293"/>
      <w:bookmarkStart w:id="153" w:name="_Toc9714"/>
      <w:r>
        <w:rPr>
          <w:rFonts w:hint="eastAsia" w:ascii="仿宋" w:hAnsi="仿宋" w:eastAsia="仿宋" w:cs="仿宋"/>
          <w:b/>
          <w:bCs/>
          <w:caps w:val="0"/>
          <w:color w:val="auto"/>
          <w:kern w:val="2"/>
          <w:sz w:val="30"/>
          <w:szCs w:val="30"/>
          <w:lang w:val="en-US" w:eastAsia="zh-CN" w:bidi="ar-SA"/>
        </w:rPr>
        <w:t>4.4.1墨斗文化的内涵</w:t>
      </w:r>
      <w:bookmarkEnd w:id="151"/>
      <w:bookmarkEnd w:id="152"/>
      <w:bookmarkEnd w:id="153"/>
    </w:p>
    <w:p w14:paraId="4C12ECAB">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近年来，学校着力于把中华优秀传统文化、闽西上杭红色文化、建筑企业文化与社会主义核心价值观、素质教育、职业教育融合起来，形成以“墨斗文化”为核心的特色校园文化。以墨斗精神作为校园文化的精髓，加强对学生进行思想道德教育，培育和践行社会主义核心价值观，着力提高学生的职业道德修养和综合素质。建筑工具——墨斗三要素（墨锥、墨线、墨仓）与社会主义核心价值观的三个层面有机融合，极大丰富了墨斗文化内涵，充分体现我校“厚德修身，精技立业”校训要义。</w:t>
      </w:r>
    </w:p>
    <w:p w14:paraId="60D75CCD">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2"/>
        <w:rPr>
          <w:rFonts w:hint="eastAsia" w:ascii="仿宋" w:hAnsi="仿宋" w:eastAsia="仿宋" w:cs="仿宋"/>
          <w:b/>
          <w:bCs/>
          <w:caps w:val="0"/>
          <w:color w:val="auto"/>
          <w:kern w:val="2"/>
          <w:sz w:val="30"/>
          <w:szCs w:val="30"/>
          <w:lang w:val="en-US" w:eastAsia="zh-CN" w:bidi="ar-SA"/>
        </w:rPr>
      </w:pPr>
      <w:bookmarkStart w:id="154" w:name="_Toc19180"/>
      <w:bookmarkStart w:id="155" w:name="_Toc27996"/>
      <w:bookmarkStart w:id="156" w:name="_Toc32184"/>
      <w:r>
        <w:rPr>
          <w:rFonts w:hint="eastAsia" w:ascii="仿宋" w:hAnsi="仿宋" w:eastAsia="仿宋" w:cs="仿宋"/>
          <w:b/>
          <w:bCs/>
          <w:caps w:val="0"/>
          <w:color w:val="auto"/>
          <w:kern w:val="2"/>
          <w:sz w:val="30"/>
          <w:szCs w:val="30"/>
          <w:lang w:val="en-US" w:eastAsia="zh-CN" w:bidi="ar-SA"/>
        </w:rPr>
        <w:t>4.4.2.墨斗文化的建设</w:t>
      </w:r>
      <w:bookmarkEnd w:id="154"/>
      <w:bookmarkEnd w:id="155"/>
      <w:bookmarkEnd w:id="156"/>
    </w:p>
    <w:p w14:paraId="32E9F063">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（1）以墨斗文化为依托，提炼办学育人理念，形成学校独特的墨斗文化艺体节。</w:t>
      </w:r>
    </w:p>
    <w:p w14:paraId="310EE856">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①发挥红色文化育人功能，激发学习动力。如编写系列红色读本，引入红色文化资源，争当著名苏区好学生；开展系列主题教育活动。</w:t>
      </w:r>
    </w:p>
    <w:p w14:paraId="7859286E">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②传承优秀传统文化精髓，健全学生人格。用《弟子规》《增广贤文》等传统文化健全学生人格。成立孔子学堂，编写经典传统文化读本，开展主题实践活动。要求语文、德育学科在教学中每学期不少于10课时用于讲授经典传统文化读本，其成绩占期中考、期末考分值的10%到20%。</w:t>
      </w:r>
    </w:p>
    <w:p w14:paraId="6A249090">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③挖掘企业文化元素，提升职业素养。通过开展优秀毕业生励志报告会、劳模、优秀企业家进校园报告会、就业指导会等，帮助学生树立正确的职业理想、职业道德、就业观、创业观，提高就业能力。完善现代师徒制度，开展校企合作、产教融合等推进专业建设，提升职业素养。</w:t>
      </w:r>
    </w:p>
    <w:p w14:paraId="04595B94">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（2）以软硬件建设为载体，完善文化设施和教材，形成学校丰富的</w:t>
      </w:r>
      <w:r>
        <w:rPr>
          <w:rFonts w:hint="eastAsia" w:ascii="仿宋" w:hAnsi="仿宋" w:eastAsia="仿宋" w:cs="仿宋"/>
          <w:b w:val="0"/>
          <w:bCs w:val="0"/>
          <w:caps w:val="0"/>
          <w:color w:val="auto"/>
          <w:kern w:val="2"/>
          <w:sz w:val="30"/>
          <w:szCs w:val="30"/>
          <w:lang w:val="en-US" w:eastAsia="zh-CN" w:bidi="ar-SA"/>
        </w:rPr>
        <w:fldChar w:fldCharType="begin"/>
      </w:r>
      <w:r>
        <w:rPr>
          <w:rFonts w:hint="eastAsia" w:ascii="仿宋" w:hAnsi="仿宋" w:eastAsia="仿宋" w:cs="仿宋"/>
          <w:b w:val="0"/>
          <w:bCs w:val="0"/>
          <w:caps w:val="0"/>
          <w:color w:val="auto"/>
          <w:kern w:val="2"/>
          <w:sz w:val="30"/>
          <w:szCs w:val="30"/>
          <w:lang w:val="en-US" w:eastAsia="zh-CN" w:bidi="ar-SA"/>
        </w:rPr>
        <w:instrText xml:space="preserve"> HYPERLINK "http://www.baidu.com/s?wd=%E7%89%A9%E8%B4%A8%E6%96%87%E5%8C%96&amp;tn=44039180_cpr&amp;fenlei=mv6quAkxTZn0IZRqIHckPjm4nH00T1dBmHFBP10YuycdPjFWuHDv0ZwV5Hcvrjm3rH6sPfKWUMw85HfYnjn4nH6sgvPsT6KdThsqpZwYTjCEQLGCpyw9Uz4Bmy-bIi4WUvYETgN-TLwGUv3EnH61njDzrHb4n1DdnHndPH0zn0" \t "_blank" </w:instrText>
      </w:r>
      <w:r>
        <w:rPr>
          <w:rFonts w:hint="eastAsia" w:ascii="仿宋" w:hAnsi="仿宋" w:eastAsia="仿宋" w:cs="仿宋"/>
          <w:b w:val="0"/>
          <w:bCs w:val="0"/>
          <w:caps w:val="0"/>
          <w:color w:val="auto"/>
          <w:kern w:val="2"/>
          <w:sz w:val="30"/>
          <w:szCs w:val="30"/>
          <w:lang w:val="en-US" w:eastAsia="zh-CN" w:bidi="ar-SA"/>
        </w:rPr>
        <w:fldChar w:fldCharType="separate"/>
      </w:r>
      <w:r>
        <w:rPr>
          <w:rFonts w:hint="eastAsia" w:ascii="仿宋" w:hAnsi="仿宋" w:eastAsia="仿宋" w:cs="仿宋"/>
          <w:b w:val="0"/>
          <w:bCs w:val="0"/>
          <w:caps w:val="0"/>
          <w:color w:val="auto"/>
          <w:kern w:val="2"/>
          <w:sz w:val="30"/>
          <w:szCs w:val="30"/>
          <w:lang w:val="en-US" w:eastAsia="zh-CN" w:bidi="ar-SA"/>
        </w:rPr>
        <w:t>物质文化</w:t>
      </w:r>
      <w:r>
        <w:rPr>
          <w:rFonts w:hint="eastAsia" w:ascii="仿宋" w:hAnsi="仿宋" w:eastAsia="仿宋" w:cs="仿宋"/>
          <w:b w:val="0"/>
          <w:bCs w:val="0"/>
          <w:caps w:val="0"/>
          <w:color w:val="auto"/>
          <w:kern w:val="2"/>
          <w:sz w:val="30"/>
          <w:szCs w:val="30"/>
          <w:lang w:val="en-US" w:eastAsia="zh-CN" w:bidi="ar-SA"/>
        </w:rPr>
        <w:fldChar w:fldCharType="end"/>
      </w:r>
      <w:r>
        <w:rPr>
          <w:rFonts w:hint="eastAsia" w:ascii="仿宋" w:hAnsi="仿宋" w:eastAsia="仿宋" w:cs="仿宋"/>
          <w:b w:val="0"/>
          <w:bCs w:val="0"/>
          <w:caps w:val="0"/>
          <w:color w:val="auto"/>
          <w:kern w:val="2"/>
          <w:sz w:val="30"/>
          <w:szCs w:val="30"/>
          <w:lang w:val="en-US" w:eastAsia="zh-CN" w:bidi="ar-SA"/>
        </w:rPr>
        <w:t>。</w:t>
      </w:r>
    </w:p>
    <w:p w14:paraId="3D214A89">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软件建设上，组织思政及德育人员编写《学会做人》《苏区精神育新人》《立德行天下》《走向企业》等四部校本教材。</w:t>
      </w:r>
    </w:p>
    <w:p w14:paraId="17217487">
      <w:pPr>
        <w:pStyle w:val="6"/>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硬件建设上，投入资金，建成体现工匠精神的鲁班广场、墨斗亭、墨香书院等；建成三个文化长廊；建成了展现办学成果及特色校园文化建设成果的校史馆；完善了文化石、名人铜像建设和通道灯饰文化及实训室企业安全文化建设；完成了校园大楼名、道路名的更新；创作新校歌，拍摄了《和你一起》MV及学校宣传视频等。</w:t>
      </w:r>
    </w:p>
    <w:p w14:paraId="3EEBCA40">
      <w:pPr>
        <w:ind w:firstLine="600" w:firstLineChars="200"/>
        <w:jc w:val="left"/>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以墨斗文化为抓手，形成全面的学生综合素质评价体系。为全面评价学生的成长发展，充分肯定学生的成长进步，制定墨斗之星和墨匠之星评选标准，墨斗之星由10种星组成（分别从文明、诚信、学习、进步、技能、才艺、劳动、运动、志愿、创新等方面评价），先以系为单位进行评选表扬，再按一定比例推荐学校表扬，每学期表扬一次；墨匠之星是在两年获得5种星的基础之上择优评选，每年评选50名。</w:t>
      </w:r>
    </w:p>
    <w:p w14:paraId="4534516B">
      <w:pPr>
        <w:spacing w:line="580" w:lineRule="exact"/>
        <w:outlineLvl w:val="0"/>
        <w:rPr>
          <w:rFonts w:hint="eastAsia" w:ascii="华文楷体" w:hAnsi="华文楷体" w:eastAsia="华文楷体" w:cs="华文楷体"/>
          <w:b/>
          <w:bCs/>
          <w:color w:val="FF0000"/>
          <w:kern w:val="2"/>
          <w:sz w:val="28"/>
          <w:szCs w:val="28"/>
          <w:lang w:val="en-US" w:eastAsia="zh-CN" w:bidi="ar-SA"/>
        </w:rPr>
      </w:pPr>
      <w:bookmarkStart w:id="157" w:name="_Toc24533"/>
      <w:r>
        <w:rPr>
          <w:rFonts w:hint="eastAsia" w:ascii="黑体" w:hAnsi="黑体" w:eastAsia="黑体" w:cs="宋体"/>
          <w:b/>
          <w:bCs/>
          <w:color w:val="000000"/>
          <w:kern w:val="0"/>
          <w:sz w:val="32"/>
          <w:szCs w:val="32"/>
          <w:shd w:val="clear" w:color="auto" w:fill="FFFFFF"/>
          <w:lang w:val="en-US" w:eastAsia="zh-CN" w:bidi="ar-SA"/>
        </w:rPr>
        <w:t>5 国际合作</w:t>
      </w:r>
      <w:bookmarkEnd w:id="157"/>
    </w:p>
    <w:p w14:paraId="71B1998B">
      <w:pPr>
        <w:outlineLvl w:val="1"/>
        <w:rPr>
          <w:rFonts w:hint="eastAsia" w:ascii="仿宋" w:hAnsi="仿宋" w:eastAsia="仿宋" w:cs="仿宋"/>
          <w:b/>
          <w:bCs/>
          <w:sz w:val="30"/>
          <w:szCs w:val="30"/>
        </w:rPr>
      </w:pPr>
      <w:bookmarkStart w:id="158" w:name="_Toc30954"/>
      <w:r>
        <w:rPr>
          <w:rFonts w:hint="eastAsia" w:ascii="仿宋" w:hAnsi="仿宋" w:eastAsia="仿宋" w:cs="仿宋"/>
          <w:b/>
          <w:bCs/>
          <w:sz w:val="30"/>
          <w:szCs w:val="30"/>
        </w:rPr>
        <w:t>5.1职教出海</w:t>
      </w:r>
      <w:bookmarkEnd w:id="158"/>
    </w:p>
    <w:p w14:paraId="676125C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学校聚焦职业教育服务国际产业需求，主动对接“一带一路”建设，推动职教资源与技术服务出海。</w:t>
      </w:r>
    </w:p>
    <w:p w14:paraId="72328AB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支持建筑产业国际化发展。结合上杭“建筑之乡”特色，强化建筑专业国际化培养，联合紫金矿业为学生提供海外矿点实习就业机会，推荐优秀学生参与海外建筑项目建设。2024年选派2名建筑专业教师赴泰国开展技术交流，学习当地先进建筑技术，并为上杭“走出去”的建筑企业提供技术咨询与支持，助力企业适应当地市场环境。</w:t>
      </w:r>
    </w:p>
    <w:p w14:paraId="6509982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搭建跨境电商产教协同平台。2024年加入全国海丝跨境电商产教融合共同体，成为第一届理事单位，构建服务“一带一路”跨境电商产业的产教融合生态，为区域经济国际化注入动能。</w:t>
      </w:r>
    </w:p>
    <w:p w14:paraId="12A77E5B">
      <w:pPr>
        <w:outlineLvl w:val="9"/>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lang w:eastAsia="zh-CN"/>
        </w:rPr>
        <w:drawing>
          <wp:anchor distT="0" distB="0" distL="114300" distR="114300" simplePos="0" relativeHeight="251666432" behindDoc="0" locked="0" layoutInCell="1" allowOverlap="1">
            <wp:simplePos x="0" y="0"/>
            <wp:positionH relativeFrom="column">
              <wp:posOffset>374650</wp:posOffset>
            </wp:positionH>
            <wp:positionV relativeFrom="paragraph">
              <wp:posOffset>123825</wp:posOffset>
            </wp:positionV>
            <wp:extent cx="4472940" cy="3046095"/>
            <wp:effectExtent l="0" t="0" r="7620" b="1905"/>
            <wp:wrapNone/>
            <wp:docPr id="53" name="图片 3" descr="afff9f5c2b97ec7cdcc6f9d6a5f31c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3" descr="afff9f5c2b97ec7cdcc6f9d6a5f31c8a"/>
                    <pic:cNvPicPr>
                      <a:picLocks noChangeAspect="1"/>
                    </pic:cNvPicPr>
                  </pic:nvPicPr>
                  <pic:blipFill>
                    <a:blip r:embed="rId88"/>
                    <a:stretch>
                      <a:fillRect/>
                    </a:stretch>
                  </pic:blipFill>
                  <pic:spPr>
                    <a:xfrm>
                      <a:off x="0" y="0"/>
                      <a:ext cx="4472940" cy="3046095"/>
                    </a:xfrm>
                    <a:prstGeom prst="rect">
                      <a:avLst/>
                    </a:prstGeom>
                    <a:noFill/>
                    <a:ln>
                      <a:noFill/>
                    </a:ln>
                  </pic:spPr>
                </pic:pic>
              </a:graphicData>
            </a:graphic>
          </wp:anchor>
        </w:drawing>
      </w:r>
    </w:p>
    <w:p w14:paraId="679100B7">
      <w:pPr>
        <w:outlineLvl w:val="9"/>
        <w:rPr>
          <w:rFonts w:hint="eastAsia" w:ascii="方正仿宋_GB2312" w:hAnsi="方正仿宋_GB2312" w:eastAsia="方正仿宋_GB2312" w:cs="方正仿宋_GB2312"/>
          <w:sz w:val="30"/>
          <w:szCs w:val="30"/>
        </w:rPr>
      </w:pPr>
    </w:p>
    <w:p w14:paraId="428374D1">
      <w:pPr>
        <w:outlineLvl w:val="9"/>
        <w:rPr>
          <w:rFonts w:hint="eastAsia" w:ascii="方正仿宋_GB2312" w:hAnsi="方正仿宋_GB2312" w:eastAsia="方正仿宋_GB2312" w:cs="方正仿宋_GB2312"/>
          <w:sz w:val="30"/>
          <w:szCs w:val="30"/>
        </w:rPr>
      </w:pPr>
    </w:p>
    <w:p w14:paraId="67CD2D6E">
      <w:pPr>
        <w:outlineLvl w:val="9"/>
        <w:rPr>
          <w:rFonts w:hint="eastAsia" w:ascii="方正仿宋_GB2312" w:hAnsi="方正仿宋_GB2312" w:eastAsia="方正仿宋_GB2312" w:cs="方正仿宋_GB2312"/>
          <w:sz w:val="30"/>
          <w:szCs w:val="30"/>
        </w:rPr>
      </w:pPr>
    </w:p>
    <w:p w14:paraId="0CFE48E1">
      <w:pPr>
        <w:outlineLvl w:val="9"/>
        <w:rPr>
          <w:rFonts w:hint="eastAsia" w:ascii="方正仿宋_GB2312" w:hAnsi="方正仿宋_GB2312" w:eastAsia="方正仿宋_GB2312" w:cs="方正仿宋_GB2312"/>
          <w:sz w:val="30"/>
          <w:szCs w:val="30"/>
        </w:rPr>
      </w:pPr>
    </w:p>
    <w:p w14:paraId="7F1B5705">
      <w:pPr>
        <w:outlineLvl w:val="9"/>
        <w:rPr>
          <w:rFonts w:hint="eastAsia" w:ascii="方正仿宋_GB2312" w:hAnsi="方正仿宋_GB2312" w:eastAsia="方正仿宋_GB2312" w:cs="方正仿宋_GB2312"/>
          <w:sz w:val="30"/>
          <w:szCs w:val="30"/>
        </w:rPr>
      </w:pPr>
    </w:p>
    <w:p w14:paraId="004B4C5A">
      <w:pPr>
        <w:outlineLvl w:val="9"/>
        <w:rPr>
          <w:rFonts w:hint="eastAsia" w:ascii="方正仿宋_GB2312" w:hAnsi="方正仿宋_GB2312" w:eastAsia="方正仿宋_GB2312" w:cs="方正仿宋_GB2312"/>
          <w:sz w:val="30"/>
          <w:szCs w:val="30"/>
        </w:rPr>
      </w:pPr>
    </w:p>
    <w:p w14:paraId="52FC846E">
      <w:pPr>
        <w:outlineLvl w:val="9"/>
        <w:rPr>
          <w:rFonts w:hint="eastAsia" w:ascii="方正仿宋_GB2312" w:hAnsi="方正仿宋_GB2312" w:eastAsia="方正仿宋_GB2312" w:cs="方正仿宋_GB2312"/>
          <w:b/>
          <w:bCs/>
          <w:sz w:val="30"/>
          <w:szCs w:val="30"/>
          <w:lang w:val="en-US" w:eastAsia="zh-CN"/>
        </w:rPr>
      </w:pPr>
    </w:p>
    <w:p w14:paraId="3EEF6AFD">
      <w:pPr>
        <w:ind w:firstLine="240" w:firstLineChars="100"/>
        <w:jc w:val="center"/>
        <w:outlineLvl w:val="9"/>
        <w:rPr>
          <w:rFonts w:hint="eastAsia" w:ascii="仿宋" w:hAnsi="仿宋" w:eastAsia="仿宋" w:cs="仿宋"/>
          <w:b w:val="0"/>
          <w:bCs w:val="0"/>
          <w:sz w:val="24"/>
          <w:szCs w:val="24"/>
          <w:lang w:val="en-US" w:eastAsia="zh-CN"/>
        </w:rPr>
      </w:pPr>
    </w:p>
    <w:p w14:paraId="43EF256B">
      <w:pPr>
        <w:pStyle w:val="24"/>
        <w:bidi w:val="0"/>
        <w:rPr>
          <w:rFonts w:hint="eastAsia"/>
        </w:rPr>
      </w:pPr>
      <w:bookmarkStart w:id="159" w:name="_Toc8337"/>
      <w:r>
        <w:rPr>
          <w:rFonts w:hint="eastAsia"/>
          <w:lang w:val="en-US" w:eastAsia="zh-CN"/>
        </w:rPr>
        <w:t>图62  2024年学校加入全国海丝跨境电商产教融合共同体</w:t>
      </w:r>
      <w:bookmarkEnd w:id="159"/>
    </w:p>
    <w:p w14:paraId="1ADC46F8">
      <w:pPr>
        <w:outlineLvl w:val="1"/>
        <w:rPr>
          <w:rFonts w:hint="eastAsia" w:ascii="仿宋" w:hAnsi="仿宋" w:eastAsia="仿宋" w:cs="仿宋"/>
          <w:b/>
          <w:bCs/>
          <w:sz w:val="30"/>
          <w:szCs w:val="30"/>
        </w:rPr>
      </w:pPr>
      <w:bookmarkStart w:id="160" w:name="_Toc25513"/>
      <w:r>
        <w:rPr>
          <w:rFonts w:hint="eastAsia" w:ascii="仿宋" w:hAnsi="仿宋" w:eastAsia="仿宋" w:cs="仿宋"/>
          <w:b/>
          <w:bCs/>
          <w:sz w:val="30"/>
          <w:szCs w:val="30"/>
        </w:rPr>
        <w:t>5.2文化传播</w:t>
      </w:r>
      <w:bookmarkEnd w:id="160"/>
    </w:p>
    <w:p w14:paraId="35BB7799">
      <w:pPr>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通过校际交流与项目活动，促进中外文化互鉴与传播</w:t>
      </w:r>
      <w:r>
        <w:rPr>
          <w:rFonts w:hint="eastAsia" w:ascii="仿宋" w:hAnsi="仿宋" w:eastAsia="仿宋" w:cs="仿宋"/>
          <w:sz w:val="30"/>
          <w:szCs w:val="30"/>
          <w:lang w:eastAsia="zh-CN"/>
        </w:rPr>
        <w:t>。</w:t>
      </w:r>
      <w:r>
        <w:rPr>
          <w:rFonts w:hint="eastAsia" w:ascii="仿宋" w:hAnsi="仿宋" w:eastAsia="仿宋" w:cs="仿宋"/>
          <w:sz w:val="30"/>
          <w:szCs w:val="30"/>
        </w:rPr>
        <w:t>2025</w:t>
      </w:r>
      <w:r>
        <w:rPr>
          <w:rFonts w:hint="eastAsia" w:ascii="仿宋" w:hAnsi="仿宋" w:eastAsia="仿宋" w:cs="仿宋"/>
          <w:sz w:val="30"/>
          <w:szCs w:val="30"/>
          <w:lang w:val="en-US" w:eastAsia="zh-CN"/>
        </w:rPr>
        <w:t>年3月，泰国素叻他尼皇家大学委派中国研究中心副主任林建伟一行访问我校，双方举行专题座谈会，通过观看学校宣传片展示办学特色，增进彼此了解与互信；访问期间对方赠送校标，标志两校友好合作正式开端，为中泰教育文化资源共享与互鉴奠定基础。在中韩国际本科直通班项目中，组织韩国文化日、中韩学生线上交流会等活动，激发学生对韩国文化的兴趣，提升跨文化沟通能力。</w:t>
      </w:r>
    </w:p>
    <w:p w14:paraId="26852736">
      <w:pPr>
        <w:outlineLvl w:val="9"/>
        <w:rPr>
          <w:rFonts w:hint="eastAsia" w:ascii="方正仿宋_GB2312" w:hAnsi="方正仿宋_GB2312" w:eastAsia="方正仿宋_GB2312" w:cs="方正仿宋_GB2312"/>
          <w:b/>
          <w:bCs/>
          <w:sz w:val="30"/>
          <w:szCs w:val="30"/>
          <w:lang w:val="en-US" w:eastAsia="zh-CN"/>
        </w:rPr>
      </w:pPr>
      <w:r>
        <w:rPr>
          <w:rFonts w:hint="eastAsia" w:ascii="方正仿宋_GB2312" w:hAnsi="方正仿宋_GB2312" w:eastAsia="方正仿宋_GB2312" w:cs="方正仿宋_GB2312"/>
          <w:b/>
          <w:bCs/>
          <w:sz w:val="30"/>
          <w:szCs w:val="30"/>
          <w:lang w:val="en-US" w:eastAsia="zh-CN"/>
        </w:rPr>
        <w:t xml:space="preserve"> </w:t>
      </w:r>
    </w:p>
    <w:p w14:paraId="4B4623C7">
      <w:pPr>
        <w:outlineLvl w:val="9"/>
        <w:rPr>
          <w:rFonts w:hint="eastAsia" w:ascii="方正仿宋_GB2312" w:hAnsi="方正仿宋_GB2312" w:eastAsia="方正仿宋_GB2312" w:cs="方正仿宋_GB2312"/>
          <w:b/>
          <w:bCs/>
          <w:sz w:val="30"/>
          <w:szCs w:val="30"/>
        </w:rPr>
      </w:pPr>
    </w:p>
    <w:p w14:paraId="05F97874">
      <w:pPr>
        <w:ind w:firstLine="602" w:firstLineChars="200"/>
        <w:outlineLvl w:val="9"/>
        <w:rPr>
          <w:rFonts w:hint="eastAsia" w:ascii="方正仿宋_GB2312" w:hAnsi="方正仿宋_GB2312" w:eastAsia="方正仿宋_GB2312" w:cs="方正仿宋_GB2312"/>
          <w:b/>
          <w:bCs/>
          <w:sz w:val="30"/>
          <w:szCs w:val="30"/>
        </w:rPr>
      </w:pPr>
      <w:r>
        <w:rPr>
          <w:rFonts w:hint="eastAsia" w:ascii="方正仿宋_GB2312" w:hAnsi="方正仿宋_GB2312" w:eastAsia="方正仿宋_GB2312" w:cs="方正仿宋_GB2312"/>
          <w:b/>
          <w:bCs/>
          <w:sz w:val="30"/>
          <w:szCs w:val="30"/>
          <w:lang w:val="en-US" w:eastAsia="zh-CN"/>
        </w:rPr>
        <w:drawing>
          <wp:anchor distT="0" distB="0" distL="114300" distR="114300" simplePos="0" relativeHeight="251665408" behindDoc="0" locked="0" layoutInCell="1" allowOverlap="1">
            <wp:simplePos x="0" y="0"/>
            <wp:positionH relativeFrom="column">
              <wp:posOffset>92075</wp:posOffset>
            </wp:positionH>
            <wp:positionV relativeFrom="paragraph">
              <wp:posOffset>-95885</wp:posOffset>
            </wp:positionV>
            <wp:extent cx="5271770" cy="4267200"/>
            <wp:effectExtent l="0" t="0" r="5080" b="0"/>
            <wp:wrapNone/>
            <wp:docPr id="51" name="图片 2" descr="微信图片_20250320114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 descr="微信图片_20250320114008"/>
                    <pic:cNvPicPr>
                      <a:picLocks noChangeAspect="1"/>
                    </pic:cNvPicPr>
                  </pic:nvPicPr>
                  <pic:blipFill>
                    <a:blip r:embed="rId89"/>
                    <a:stretch>
                      <a:fillRect/>
                    </a:stretch>
                  </pic:blipFill>
                  <pic:spPr>
                    <a:xfrm>
                      <a:off x="0" y="0"/>
                      <a:ext cx="5271770" cy="4267200"/>
                    </a:xfrm>
                    <a:prstGeom prst="rect">
                      <a:avLst/>
                    </a:prstGeom>
                    <a:noFill/>
                    <a:ln>
                      <a:noFill/>
                    </a:ln>
                  </pic:spPr>
                </pic:pic>
              </a:graphicData>
            </a:graphic>
          </wp:anchor>
        </w:drawing>
      </w:r>
    </w:p>
    <w:p w14:paraId="15F14AB3">
      <w:pPr>
        <w:ind w:firstLine="602" w:firstLineChars="200"/>
        <w:outlineLvl w:val="9"/>
        <w:rPr>
          <w:rFonts w:hint="eastAsia" w:ascii="方正仿宋_GB2312" w:hAnsi="方正仿宋_GB2312" w:eastAsia="方正仿宋_GB2312" w:cs="方正仿宋_GB2312"/>
          <w:b/>
          <w:bCs/>
          <w:sz w:val="30"/>
          <w:szCs w:val="30"/>
        </w:rPr>
      </w:pPr>
    </w:p>
    <w:p w14:paraId="282982EC">
      <w:pPr>
        <w:ind w:firstLine="602" w:firstLineChars="200"/>
        <w:outlineLvl w:val="9"/>
        <w:rPr>
          <w:rFonts w:hint="eastAsia" w:ascii="方正仿宋_GB2312" w:hAnsi="方正仿宋_GB2312" w:eastAsia="方正仿宋_GB2312" w:cs="方正仿宋_GB2312"/>
          <w:b/>
          <w:bCs/>
          <w:sz w:val="30"/>
          <w:szCs w:val="30"/>
        </w:rPr>
      </w:pPr>
    </w:p>
    <w:p w14:paraId="1661F469">
      <w:pPr>
        <w:ind w:firstLine="602" w:firstLineChars="200"/>
        <w:outlineLvl w:val="9"/>
        <w:rPr>
          <w:rFonts w:hint="eastAsia" w:ascii="方正仿宋_GB2312" w:hAnsi="方正仿宋_GB2312" w:eastAsia="方正仿宋_GB2312" w:cs="方正仿宋_GB2312"/>
          <w:b/>
          <w:bCs/>
          <w:sz w:val="30"/>
          <w:szCs w:val="30"/>
        </w:rPr>
      </w:pPr>
    </w:p>
    <w:p w14:paraId="3F130505">
      <w:pPr>
        <w:ind w:firstLine="602" w:firstLineChars="200"/>
        <w:outlineLvl w:val="9"/>
        <w:rPr>
          <w:rFonts w:hint="eastAsia" w:ascii="方正仿宋_GB2312" w:hAnsi="方正仿宋_GB2312" w:eastAsia="方正仿宋_GB2312" w:cs="方正仿宋_GB2312"/>
          <w:b/>
          <w:bCs/>
          <w:sz w:val="30"/>
          <w:szCs w:val="30"/>
        </w:rPr>
      </w:pPr>
    </w:p>
    <w:p w14:paraId="6D14A794">
      <w:pPr>
        <w:ind w:firstLine="602" w:firstLineChars="200"/>
        <w:outlineLvl w:val="9"/>
        <w:rPr>
          <w:rFonts w:hint="eastAsia" w:ascii="方正仿宋_GB2312" w:hAnsi="方正仿宋_GB2312" w:eastAsia="方正仿宋_GB2312" w:cs="方正仿宋_GB2312"/>
          <w:b/>
          <w:bCs/>
          <w:sz w:val="30"/>
          <w:szCs w:val="30"/>
        </w:rPr>
      </w:pPr>
    </w:p>
    <w:p w14:paraId="25EA010C">
      <w:pPr>
        <w:ind w:firstLine="602" w:firstLineChars="200"/>
        <w:outlineLvl w:val="9"/>
        <w:rPr>
          <w:rFonts w:hint="eastAsia" w:ascii="方正仿宋_GB2312" w:hAnsi="方正仿宋_GB2312" w:eastAsia="方正仿宋_GB2312" w:cs="方正仿宋_GB2312"/>
          <w:b/>
          <w:bCs/>
          <w:sz w:val="30"/>
          <w:szCs w:val="30"/>
        </w:rPr>
      </w:pPr>
    </w:p>
    <w:p w14:paraId="7ED79EBF">
      <w:pPr>
        <w:outlineLvl w:val="9"/>
        <w:rPr>
          <w:rFonts w:hint="eastAsia" w:ascii="方正仿宋_GB2312" w:hAnsi="方正仿宋_GB2312" w:eastAsia="方正仿宋_GB2312" w:cs="方正仿宋_GB2312"/>
          <w:b/>
          <w:bCs/>
          <w:sz w:val="30"/>
          <w:szCs w:val="30"/>
        </w:rPr>
      </w:pPr>
    </w:p>
    <w:p w14:paraId="552267D6">
      <w:pPr>
        <w:ind w:firstLine="960" w:firstLineChars="400"/>
        <w:jc w:val="center"/>
        <w:outlineLvl w:val="9"/>
        <w:rPr>
          <w:rFonts w:hint="eastAsia" w:ascii="仿宋" w:hAnsi="仿宋" w:eastAsia="仿宋" w:cs="仿宋"/>
          <w:b w:val="0"/>
          <w:bCs w:val="0"/>
          <w:sz w:val="24"/>
          <w:szCs w:val="24"/>
          <w:lang w:val="en-US" w:eastAsia="zh-CN"/>
        </w:rPr>
      </w:pPr>
    </w:p>
    <w:p w14:paraId="38DDBEFC">
      <w:pPr>
        <w:ind w:firstLine="960" w:firstLineChars="400"/>
        <w:jc w:val="center"/>
        <w:outlineLvl w:val="9"/>
        <w:rPr>
          <w:rFonts w:hint="eastAsia" w:ascii="仿宋" w:hAnsi="仿宋" w:eastAsia="仿宋" w:cs="仿宋"/>
          <w:b w:val="0"/>
          <w:bCs w:val="0"/>
          <w:sz w:val="24"/>
          <w:szCs w:val="24"/>
          <w:lang w:val="en-US" w:eastAsia="zh-CN"/>
        </w:rPr>
      </w:pPr>
    </w:p>
    <w:p w14:paraId="06F81FF4">
      <w:pPr>
        <w:ind w:firstLine="960" w:firstLineChars="400"/>
        <w:jc w:val="center"/>
        <w:outlineLvl w:val="9"/>
        <w:rPr>
          <w:rFonts w:hint="eastAsia" w:ascii="仿宋" w:hAnsi="仿宋" w:eastAsia="仿宋" w:cs="仿宋"/>
          <w:b w:val="0"/>
          <w:bCs w:val="0"/>
          <w:sz w:val="24"/>
          <w:szCs w:val="24"/>
          <w:lang w:val="en-US" w:eastAsia="zh-CN"/>
        </w:rPr>
      </w:pPr>
    </w:p>
    <w:p w14:paraId="77E7D6C9">
      <w:pPr>
        <w:ind w:firstLine="960" w:firstLineChars="400"/>
        <w:jc w:val="center"/>
        <w:outlineLvl w:val="9"/>
        <w:rPr>
          <w:rFonts w:hint="eastAsia" w:ascii="仿宋" w:hAnsi="仿宋" w:eastAsia="仿宋" w:cs="仿宋"/>
          <w:b w:val="0"/>
          <w:bCs w:val="0"/>
          <w:sz w:val="24"/>
          <w:szCs w:val="24"/>
          <w:lang w:val="en-US" w:eastAsia="zh-CN"/>
        </w:rPr>
      </w:pPr>
    </w:p>
    <w:p w14:paraId="0D66A8EB">
      <w:pPr>
        <w:pStyle w:val="24"/>
        <w:bidi w:val="0"/>
        <w:rPr>
          <w:rFonts w:hint="eastAsia"/>
          <w:lang w:val="en-US" w:eastAsia="zh-CN"/>
        </w:rPr>
      </w:pPr>
      <w:bookmarkStart w:id="161" w:name="_Toc24320"/>
    </w:p>
    <w:p w14:paraId="7128AE88">
      <w:pPr>
        <w:pStyle w:val="24"/>
        <w:bidi w:val="0"/>
        <w:rPr>
          <w:rFonts w:hint="eastAsia"/>
          <w:lang w:val="en-US" w:eastAsia="zh-CN"/>
        </w:rPr>
      </w:pPr>
    </w:p>
    <w:p w14:paraId="3D7E69BF">
      <w:pPr>
        <w:pStyle w:val="24"/>
        <w:bidi w:val="0"/>
        <w:rPr>
          <w:rFonts w:hint="eastAsia" w:ascii="仿宋" w:hAnsi="仿宋" w:eastAsia="仿宋" w:cs="仿宋"/>
          <w:b/>
          <w:bCs/>
          <w:sz w:val="30"/>
          <w:szCs w:val="30"/>
        </w:rPr>
      </w:pPr>
      <w:r>
        <w:rPr>
          <w:rFonts w:hint="eastAsia"/>
          <w:lang w:val="en-US" w:eastAsia="zh-CN"/>
        </w:rPr>
        <w:t>图63 泰国素叻他尼皇家大学来学校交流</w:t>
      </w:r>
      <w:bookmarkEnd w:id="161"/>
    </w:p>
    <w:p w14:paraId="042A6EDE">
      <w:pPr>
        <w:spacing w:line="580" w:lineRule="exact"/>
        <w:outlineLvl w:val="1"/>
        <w:rPr>
          <w:rFonts w:hint="eastAsia" w:ascii="仿宋_GB2312" w:hAnsi="Yu Mincho Light" w:eastAsia="仿宋_GB2312" w:cs="Yu Mincho Light"/>
          <w:b/>
          <w:bCs/>
          <w:sz w:val="32"/>
          <w:lang w:val="en-US" w:eastAsia="zh-CN"/>
        </w:rPr>
      </w:pPr>
      <w:bookmarkStart w:id="162" w:name="_Toc2339"/>
      <w:r>
        <w:rPr>
          <w:rFonts w:hint="eastAsia" w:ascii="仿宋_GB2312" w:hAnsi="Yu Mincho Light" w:eastAsia="仿宋_GB2312" w:cs="Yu Mincho Light"/>
          <w:b/>
          <w:bCs/>
          <w:sz w:val="32"/>
          <w:lang w:val="en-US" w:eastAsia="zh-CN"/>
        </w:rPr>
        <w:t>5.3</w:t>
      </w:r>
      <w:r>
        <w:rPr>
          <w:rFonts w:hint="eastAsia" w:ascii="仿宋" w:hAnsi="仿宋" w:eastAsia="仿宋" w:cs="仿宋"/>
          <w:b/>
          <w:bCs/>
          <w:sz w:val="32"/>
          <w:lang w:val="en-US" w:eastAsia="zh-CN"/>
        </w:rPr>
        <w:t>留学交流</w:t>
      </w:r>
      <w:bookmarkEnd w:id="162"/>
    </w:p>
    <w:p w14:paraId="47770FD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构建多层次留学与交流渠道，为师生提供海外学习机会。</w:t>
      </w:r>
    </w:p>
    <w:p w14:paraId="31F6C27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韩贯通式留学项目。联合黎明职业大学、韩国大邱加图立大学启动中韩国际本科直通班项目（学制六年，聚焦电子商务专业），采用“国内中职+高职+韩国本科”的贯通培养路径，中韩双方教师共同授课，学生既掌握国内电子商务核心知识，又学习韩国电商领域先进理念与实践经验；同步聘请专业韩语教师开展系统教学，为学生赴韩攻读本科筑牢语言基础，截至目前已招收三个年级共119名学生。</w:t>
      </w:r>
    </w:p>
    <w:p w14:paraId="1902FFC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教师海外学历提升。选派两名建筑专业教师赴泰国皇家理工大学进行同等学历升硕教育，吸收海外先进教学理念与专业技术。</w:t>
      </w:r>
    </w:p>
    <w:p w14:paraId="397F0DB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中泰短期交流共识。2025年3月与泰国素叻他尼皇家大学座谈时，围绕学生短期交流、海外学习计划等潜在合作领域达成多项共识。</w:t>
      </w:r>
    </w:p>
    <w:p w14:paraId="141B7795">
      <w:pPr>
        <w:pStyle w:val="17"/>
        <w:spacing w:before="0" w:beforeAutospacing="0" w:after="0" w:afterAutospacing="0" w:line="580" w:lineRule="exact"/>
        <w:outlineLvl w:val="0"/>
        <w:rPr>
          <w:rFonts w:ascii="黑体" w:hAnsi="黑体" w:eastAsia="黑体"/>
          <w:b/>
          <w:bCs/>
          <w:color w:val="000000"/>
          <w:sz w:val="32"/>
          <w:szCs w:val="32"/>
          <w:shd w:val="clear" w:color="auto" w:fill="FFFFFF"/>
        </w:rPr>
      </w:pPr>
      <w:bookmarkStart w:id="163" w:name="_Toc4229"/>
      <w:r>
        <w:rPr>
          <w:rFonts w:hint="eastAsia" w:ascii="黑体" w:hAnsi="黑体" w:eastAsia="黑体"/>
          <w:b/>
          <w:bCs/>
          <w:color w:val="000000"/>
          <w:sz w:val="32"/>
          <w:szCs w:val="32"/>
          <w:shd w:val="clear" w:color="auto" w:fill="FFFFFF"/>
          <w:lang w:val="en-US" w:eastAsia="zh-CN"/>
        </w:rPr>
        <w:t xml:space="preserve">6 </w:t>
      </w:r>
      <w:r>
        <w:rPr>
          <w:rFonts w:hint="eastAsia" w:ascii="黑体" w:hAnsi="黑体" w:eastAsia="黑体"/>
          <w:b/>
          <w:bCs/>
          <w:color w:val="000000"/>
          <w:sz w:val="32"/>
          <w:szCs w:val="32"/>
          <w:shd w:val="clear" w:color="auto" w:fill="FFFFFF"/>
        </w:rPr>
        <w:t>发展保障</w:t>
      </w:r>
      <w:bookmarkEnd w:id="163"/>
    </w:p>
    <w:p w14:paraId="4A55EA93">
      <w:pPr>
        <w:spacing w:line="580" w:lineRule="exact"/>
        <w:outlineLvl w:val="1"/>
        <w:rPr>
          <w:rFonts w:hint="eastAsia" w:ascii="仿宋_GB2312" w:hAnsi="Yu Mincho Light" w:eastAsia="仿宋_GB2312" w:cs="Yu Mincho Light"/>
          <w:b/>
          <w:bCs/>
          <w:color w:val="FF0000"/>
          <w:sz w:val="28"/>
          <w:szCs w:val="28"/>
          <w:lang w:eastAsia="zh-CN"/>
        </w:rPr>
      </w:pPr>
      <w:bookmarkStart w:id="164" w:name="_Toc22559"/>
      <w:r>
        <w:rPr>
          <w:rFonts w:hint="eastAsia" w:ascii="仿宋_GB2312" w:hAnsi="Yu Mincho Light" w:eastAsia="仿宋_GB2312" w:cs="Yu Mincho Light"/>
          <w:b/>
          <w:bCs/>
          <w:sz w:val="32"/>
          <w:lang w:val="en-US" w:eastAsia="zh-CN"/>
        </w:rPr>
        <w:t>6</w:t>
      </w:r>
      <w:r>
        <w:rPr>
          <w:rFonts w:hint="eastAsia" w:ascii="仿宋_GB2312" w:hAnsi="Yu Mincho Light" w:eastAsia="仿宋_GB2312" w:cs="Yu Mincho Light"/>
          <w:b/>
          <w:bCs/>
          <w:sz w:val="32"/>
        </w:rPr>
        <w:t>.1党建引领</w:t>
      </w:r>
      <w:bookmarkEnd w:id="164"/>
    </w:p>
    <w:p w14:paraId="0852CC55">
      <w:pPr>
        <w:keepNext w:val="0"/>
        <w:keepLines w:val="0"/>
        <w:pageBreakBefore w:val="0"/>
        <w:widowControl w:val="0"/>
        <w:kinsoku/>
        <w:wordWrap/>
        <w:overflowPunct/>
        <w:topLinePunct w:val="0"/>
        <w:autoSpaceDE/>
        <w:autoSpaceDN/>
        <w:bidi w:val="0"/>
        <w:adjustRightInd/>
        <w:snapToGrid/>
        <w:spacing w:line="500" w:lineRule="exact"/>
        <w:ind w:firstLine="602" w:firstLineChars="200"/>
        <w:textAlignment w:val="auto"/>
        <w:outlineLvl w:val="2"/>
        <w:rPr>
          <w:rFonts w:hint="eastAsia" w:ascii="仿宋" w:hAnsi="仿宋" w:eastAsia="仿宋" w:cs="仿宋"/>
          <w:b/>
          <w:bCs/>
          <w:color w:val="000000"/>
          <w:sz w:val="30"/>
          <w:szCs w:val="30"/>
          <w:lang w:eastAsia="zh-CN"/>
        </w:rPr>
      </w:pPr>
      <w:bookmarkStart w:id="165" w:name="_Toc21379"/>
      <w:bookmarkStart w:id="166" w:name="_Toc22653"/>
      <w:r>
        <w:rPr>
          <w:rFonts w:hint="eastAsia" w:ascii="仿宋" w:hAnsi="仿宋" w:eastAsia="仿宋" w:cs="仿宋"/>
          <w:b/>
          <w:bCs/>
          <w:color w:val="000000"/>
          <w:sz w:val="30"/>
          <w:szCs w:val="30"/>
          <w:lang w:val="en-US" w:eastAsia="zh-CN"/>
        </w:rPr>
        <w:t>6.1.1</w:t>
      </w:r>
      <w:r>
        <w:rPr>
          <w:rFonts w:hint="eastAsia" w:ascii="仿宋" w:hAnsi="仿宋" w:eastAsia="仿宋" w:cs="仿宋"/>
          <w:b/>
          <w:bCs/>
          <w:color w:val="000000"/>
          <w:sz w:val="30"/>
          <w:szCs w:val="30"/>
          <w:lang w:eastAsia="zh-CN"/>
        </w:rPr>
        <w:t>深化</w:t>
      </w:r>
      <w:r>
        <w:rPr>
          <w:rFonts w:hint="eastAsia" w:ascii="仿宋" w:hAnsi="仿宋" w:eastAsia="仿宋" w:cs="仿宋"/>
          <w:b/>
          <w:bCs/>
          <w:color w:val="000000"/>
          <w:sz w:val="30"/>
          <w:szCs w:val="30"/>
        </w:rPr>
        <w:t>思想引领，</w:t>
      </w:r>
      <w:bookmarkEnd w:id="165"/>
      <w:r>
        <w:rPr>
          <w:rFonts w:hint="eastAsia" w:ascii="仿宋" w:hAnsi="仿宋" w:eastAsia="仿宋" w:cs="仿宋"/>
          <w:b/>
          <w:bCs/>
          <w:color w:val="000000"/>
          <w:sz w:val="30"/>
          <w:szCs w:val="30"/>
          <w:lang w:eastAsia="zh-CN"/>
        </w:rPr>
        <w:t>筑牢政治根基</w:t>
      </w:r>
      <w:bookmarkEnd w:id="166"/>
    </w:p>
    <w:p w14:paraId="7485356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党总支坚持进一步深化思想引领作用，坚持把政治建设摆在班子建设和党的建设的首位，坚持把政治建设贯穿班子建设、党的建设全过程，坚决扛起“为党育人、为国育才”的政治使命。严格对标党中央决策部署及上级党委工作要求，将党的教育方针、习近平总书记关于教育强国建设的重要论述全面融入学校党建、学科建设、人才培养等核心领域，确保办学方向与国家战略同频共振。通过“三会一课”、集中学习、讲党课等形式，深入贯彻落实</w:t>
      </w:r>
      <w:r>
        <w:rPr>
          <w:rFonts w:hint="eastAsia" w:ascii="仿宋" w:hAnsi="仿宋" w:eastAsia="仿宋" w:cs="仿宋"/>
          <w:kern w:val="2"/>
          <w:sz w:val="30"/>
          <w:szCs w:val="30"/>
          <w:lang w:val="en-US" w:eastAsia="zh-CN" w:bidi="ar-SA"/>
        </w:rPr>
        <w:t>中央八项规定精神学习教育</w:t>
      </w:r>
      <w:r>
        <w:rPr>
          <w:rFonts w:hint="eastAsia" w:ascii="仿宋" w:hAnsi="仿宋" w:eastAsia="仿宋" w:cs="仿宋"/>
          <w:sz w:val="30"/>
          <w:szCs w:val="30"/>
          <w:lang w:val="en-US" w:eastAsia="zh-CN"/>
        </w:rPr>
        <w:t>和党的二十大及二十届历次全会会议精神，切实增强“四个意识”、坚定“四个自信”、做到“两个维护”。</w:t>
      </w:r>
    </w:p>
    <w:p w14:paraId="0B397C2D">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167" w:name="_Toc23219"/>
      <w:bookmarkStart w:id="168" w:name="_Toc16528"/>
      <w:r>
        <w:rPr>
          <w:rFonts w:hint="eastAsia" w:ascii="仿宋" w:hAnsi="仿宋" w:eastAsia="仿宋" w:cs="仿宋"/>
          <w:b/>
          <w:bCs/>
          <w:sz w:val="30"/>
          <w:szCs w:val="30"/>
          <w:lang w:val="en-US" w:eastAsia="zh-CN"/>
        </w:rPr>
        <w:t>6.1.2加强党纪学习教育，严明党的纪律</w:t>
      </w:r>
      <w:bookmarkEnd w:id="167"/>
      <w:bookmarkEnd w:id="168"/>
    </w:p>
    <w:p w14:paraId="6A772D9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按照中央部署及省委、市委、县委各级要求，本学年学校党总支以贯彻落实中央八项规定精神学习教育为重要抓手，持续深化作风建设，夯实全面从严治党的作风基础。通过系统学习《习近平关于加强党的作风建设论述摘编》《关于持续深化纠治“四风”问题的通知》等书籍和文件精神，结合违反八项规定精神的典型案例开展专题研讨、案例警示教育活动，深入解读中央八项规定精神的核心内涵、实践要求及作风建设的时代意义，引导全体党员教师深刻认识“四风”问题的顽固性与危害性，自觉筑牢改进作风、廉洁从教的思想防线。</w:t>
      </w:r>
    </w:p>
    <w:p w14:paraId="3ED74279">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在学习教育期间，各系支部累计开展4次“中央八项规定精神落地实践”主题集中研讨；党总支书记和各支部书记均讲授专题党课，开展年轻干部、新提拔干部、关键岗位干部学习教育，组织开展征求基层党员干部群众代表意见座谈会等专题活动，旨在营造学校风清气正的教育教学环境，不断提升党员干部的纪律意识，引导其在日常教学科研中自觉抵制浮躁作风、杜绝铺张浪费、密切联系学生，守好廉洁从教与作风建设的第一道防线，推动学习教育入脑入心。</w:t>
      </w:r>
    </w:p>
    <w:p w14:paraId="071B8D1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同时，创新学习形式，采用线上线下相结合的方式：线下组织党员教师重走毛泽东才溪调查路线，追寻伟人足迹，感悟伟人的实践精神；线上充分利用学校OA平台、微信公众号等渠道，大力宣传廉洁故事，选树先进典型，观看党建云课堂等，不断提升党建学习教育多样化，满足不同党员干部的学习需求。</w:t>
      </w:r>
    </w:p>
    <w:p w14:paraId="72D30F91">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169" w:name="_Toc9081"/>
      <w:bookmarkStart w:id="170" w:name="_Toc16577"/>
      <w:r>
        <w:rPr>
          <w:rFonts w:hint="eastAsia" w:ascii="仿宋" w:hAnsi="仿宋" w:eastAsia="仿宋" w:cs="仿宋"/>
          <w:b/>
          <w:bCs/>
          <w:sz w:val="30"/>
          <w:szCs w:val="30"/>
          <w:lang w:val="en-US" w:eastAsia="zh-CN"/>
        </w:rPr>
        <w:t>6.1.3</w:t>
      </w:r>
      <w:bookmarkEnd w:id="169"/>
      <w:r>
        <w:rPr>
          <w:rFonts w:hint="eastAsia" w:ascii="仿宋" w:hAnsi="仿宋" w:eastAsia="仿宋" w:cs="仿宋"/>
          <w:b/>
          <w:bCs/>
          <w:sz w:val="30"/>
          <w:szCs w:val="30"/>
          <w:lang w:val="en-US" w:eastAsia="zh-CN"/>
        </w:rPr>
        <w:t>守牢意识形态阵地，筑牢思想安全屏障</w:t>
      </w:r>
      <w:bookmarkEnd w:id="170"/>
    </w:p>
    <w:p w14:paraId="13CDA89C">
      <w:pPr>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kern w:val="2"/>
          <w:sz w:val="30"/>
          <w:szCs w:val="30"/>
          <w:lang w:val="en-US" w:eastAsia="zh-CN" w:bidi="ar-SA"/>
        </w:rPr>
        <w:t>1.</w:t>
      </w:r>
      <w:r>
        <w:rPr>
          <w:rFonts w:hint="eastAsia" w:ascii="仿宋" w:hAnsi="仿宋" w:eastAsia="仿宋" w:cs="仿宋"/>
          <w:sz w:val="30"/>
          <w:szCs w:val="30"/>
          <w:lang w:val="en-US" w:eastAsia="zh-CN"/>
        </w:rPr>
        <w:t>严格规范“三会一课”制度，推动习近平新时代中国特色社会主义思想学深悟透、落地生根。持续深化理论武装，深入学习贯彻省第十一次党代会及省委十一届五次、六次全会，龙岩市第六次党代会及市委六届七次、八次全会，上杭县第十四次党代会及县委十四届七次、八次全会精神，将学习教育融入日常、抓在经常。以党员先锋模范作用带动全校理论学习热潮，确保师生思想政治教育全覆盖、精神食粮“不断档”。</w:t>
      </w:r>
    </w:p>
    <w:p w14:paraId="284152E6">
      <w:pPr>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kern w:val="2"/>
          <w:sz w:val="30"/>
          <w:szCs w:val="30"/>
          <w:lang w:val="en-US" w:eastAsia="zh-CN" w:bidi="ar-SA"/>
        </w:rPr>
        <w:t>2.</w:t>
      </w:r>
      <w:r>
        <w:rPr>
          <w:rFonts w:hint="eastAsia" w:ascii="仿宋" w:hAnsi="仿宋" w:eastAsia="仿宋" w:cs="仿宋"/>
          <w:sz w:val="30"/>
          <w:szCs w:val="30"/>
          <w:lang w:val="en-US" w:eastAsia="zh-CN"/>
        </w:rPr>
        <w:t>学校党总支严格落实《党委（党组）落实意识形态工作责任制实施办法》及省市县部署要求，将意识形态工作纳入党建考核体系。依托上杭职专意识形态工作领导小组，全年开展2次意识形态专题研判会，梳理风险点，制定整改措施，筑牢意识形态阵地；通过微信公众号、校园电子屏、宣传栏等阵地推送社会主义核心价值观、党纪学习、廉洁教育、传统文化等，深化核心价值体系传播。守好课堂主阵地，排查教材120余种、网络平台信息500余条；积极开展家国情怀、总体国家安全观、马克思主义宗教观专题学习等活动，坚决抵御宗教渗透，确保校园意识形态领域安全稳定。</w:t>
      </w:r>
    </w:p>
    <w:p w14:paraId="0265D805">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2"/>
        <w:rPr>
          <w:rFonts w:hint="eastAsia" w:ascii="仿宋" w:hAnsi="仿宋" w:eastAsia="仿宋" w:cs="仿宋"/>
          <w:b/>
          <w:bCs/>
          <w:color w:val="000000"/>
          <w:sz w:val="30"/>
          <w:szCs w:val="30"/>
        </w:rPr>
      </w:pPr>
      <w:bookmarkStart w:id="171" w:name="_Toc18266"/>
      <w:bookmarkStart w:id="172" w:name="_Toc31518"/>
      <w:r>
        <w:rPr>
          <w:rFonts w:hint="eastAsia" w:ascii="仿宋" w:hAnsi="仿宋" w:eastAsia="仿宋" w:cs="仿宋"/>
          <w:b/>
          <w:bCs/>
          <w:color w:val="000000"/>
          <w:sz w:val="30"/>
          <w:szCs w:val="30"/>
          <w:lang w:val="en-US" w:eastAsia="zh-CN"/>
        </w:rPr>
        <w:t>6.1.4</w:t>
      </w:r>
      <w:bookmarkEnd w:id="171"/>
      <w:r>
        <w:rPr>
          <w:rFonts w:hint="eastAsia" w:ascii="仿宋" w:hAnsi="仿宋" w:eastAsia="仿宋" w:cs="仿宋"/>
          <w:b/>
          <w:bCs/>
          <w:color w:val="000000"/>
          <w:sz w:val="30"/>
          <w:szCs w:val="30"/>
          <w:lang w:eastAsia="zh-CN"/>
        </w:rPr>
        <w:t>提升组织建设，筑牢战斗堡垒</w:t>
      </w:r>
      <w:bookmarkEnd w:id="172"/>
    </w:p>
    <w:p w14:paraId="550A6837">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9"/>
        <w:rPr>
          <w:rFonts w:hint="eastAsia" w:ascii="仿宋" w:hAnsi="仿宋" w:eastAsia="仿宋" w:cs="仿宋"/>
          <w:b w:val="0"/>
          <w:bCs w:val="0"/>
          <w:sz w:val="30"/>
          <w:szCs w:val="30"/>
          <w:lang w:val="en-US" w:eastAsia="zh-CN"/>
        </w:rPr>
      </w:pPr>
      <w:r>
        <w:rPr>
          <w:rFonts w:hint="eastAsia" w:ascii="仿宋" w:hAnsi="仿宋" w:eastAsia="仿宋" w:cs="仿宋"/>
          <w:b w:val="0"/>
          <w:bCs w:val="0"/>
          <w:color w:val="000000"/>
          <w:sz w:val="30"/>
          <w:szCs w:val="30"/>
        </w:rPr>
        <w:t>1.</w:t>
      </w:r>
      <w:r>
        <w:rPr>
          <w:rFonts w:hint="eastAsia" w:ascii="仿宋" w:hAnsi="仿宋" w:eastAsia="仿宋" w:cs="仿宋"/>
          <w:b w:val="0"/>
          <w:bCs w:val="0"/>
          <w:color w:val="000000"/>
          <w:sz w:val="30"/>
          <w:szCs w:val="30"/>
          <w:lang w:eastAsia="zh-CN"/>
        </w:rPr>
        <w:t>学校</w:t>
      </w:r>
      <w:r>
        <w:rPr>
          <w:rFonts w:hint="eastAsia" w:ascii="仿宋" w:hAnsi="仿宋" w:eastAsia="仿宋" w:cs="仿宋"/>
          <w:b w:val="0"/>
          <w:bCs w:val="0"/>
          <w:color w:val="000000"/>
          <w:sz w:val="30"/>
          <w:szCs w:val="30"/>
        </w:rPr>
        <w:t>深入推进“党建引领先锋工程”</w:t>
      </w:r>
      <w:r>
        <w:rPr>
          <w:rFonts w:hint="eastAsia" w:ascii="仿宋" w:hAnsi="仿宋" w:eastAsia="仿宋" w:cs="仿宋"/>
          <w:b w:val="0"/>
          <w:bCs w:val="0"/>
          <w:color w:val="000000"/>
          <w:sz w:val="30"/>
          <w:szCs w:val="30"/>
          <w:lang w:eastAsia="zh-CN"/>
        </w:rPr>
        <w:t>活动，在基层教学一线建立党员先锋岗，依托岗位服务学生，培育年轻教师等，不断发挥党员先锋模范带头作用</w:t>
      </w:r>
      <w:r>
        <w:rPr>
          <w:rFonts w:hint="eastAsia" w:ascii="仿宋" w:hAnsi="仿宋" w:eastAsia="仿宋" w:cs="仿宋"/>
          <w:b w:val="0"/>
          <w:bCs w:val="0"/>
          <w:color w:val="000000"/>
          <w:sz w:val="30"/>
          <w:szCs w:val="30"/>
        </w:rPr>
        <w:t>，</w:t>
      </w:r>
      <w:r>
        <w:rPr>
          <w:rFonts w:hint="eastAsia" w:ascii="仿宋" w:hAnsi="仿宋" w:eastAsia="仿宋" w:cs="仿宋"/>
          <w:b w:val="0"/>
          <w:bCs w:val="0"/>
          <w:color w:val="000000"/>
          <w:sz w:val="30"/>
          <w:szCs w:val="30"/>
          <w:lang w:eastAsia="zh-CN"/>
        </w:rPr>
        <w:t>同时进一步</w:t>
      </w:r>
      <w:r>
        <w:rPr>
          <w:rFonts w:hint="eastAsia" w:ascii="仿宋" w:hAnsi="仿宋" w:eastAsia="仿宋" w:cs="仿宋"/>
          <w:b w:val="0"/>
          <w:bCs w:val="0"/>
          <w:color w:val="000000"/>
          <w:sz w:val="30"/>
          <w:szCs w:val="30"/>
        </w:rPr>
        <w:t>深化“教师党支部书记双带头人”培育行动，选配政治素质过硬、专业能力突出的支部书记，实现支部班子“政治强、业务精”</w:t>
      </w:r>
      <w:r>
        <w:rPr>
          <w:rFonts w:hint="eastAsia" w:ascii="仿宋" w:hAnsi="仿宋" w:eastAsia="仿宋" w:cs="仿宋"/>
          <w:b w:val="0"/>
          <w:bCs w:val="0"/>
          <w:color w:val="000000"/>
          <w:sz w:val="30"/>
          <w:szCs w:val="30"/>
          <w:lang w:eastAsia="zh-CN"/>
        </w:rPr>
        <w:t>总体要求</w:t>
      </w:r>
      <w:r>
        <w:rPr>
          <w:rFonts w:hint="eastAsia" w:ascii="仿宋" w:hAnsi="仿宋" w:eastAsia="仿宋" w:cs="仿宋"/>
          <w:b w:val="0"/>
          <w:bCs w:val="0"/>
          <w:sz w:val="30"/>
          <w:szCs w:val="30"/>
          <w:lang w:val="en-US" w:eastAsia="zh-CN"/>
        </w:rPr>
        <w:t>。</w:t>
      </w:r>
    </w:p>
    <w:p w14:paraId="73F4B47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b w:val="0"/>
          <w:bCs w:val="0"/>
          <w:color w:val="000000"/>
          <w:sz w:val="30"/>
          <w:szCs w:val="30"/>
          <w:lang w:eastAsia="zh-CN"/>
        </w:rPr>
        <w:t>2.强化党员队伍管理，提升组织活力。</w:t>
      </w:r>
      <w:r>
        <w:rPr>
          <w:rFonts w:hint="eastAsia" w:ascii="仿宋" w:hAnsi="仿宋" w:eastAsia="仿宋" w:cs="仿宋"/>
          <w:b w:val="0"/>
          <w:bCs w:val="0"/>
          <w:sz w:val="30"/>
          <w:szCs w:val="30"/>
          <w:lang w:val="en-US" w:eastAsia="zh-CN"/>
        </w:rPr>
        <w:t>各系支部抓好党员队伍的管理工作，坚持将纪律作为党员队伍的第一准绳，积极打造“优师发展”平台，深化名优教师结对帮扶</w:t>
      </w:r>
      <w:r>
        <w:rPr>
          <w:rFonts w:hint="eastAsia" w:ascii="仿宋" w:hAnsi="仿宋" w:eastAsia="仿宋" w:cs="仿宋"/>
          <w:sz w:val="30"/>
          <w:szCs w:val="30"/>
          <w:lang w:val="en-US" w:eastAsia="zh-CN"/>
        </w:rPr>
        <w:t>青年教师工作，提升教师专业能力素养，做好优秀青年教师入党工作和交流教师的党员关系的转接工作，本年度按计划完成发展党员2名。</w:t>
      </w:r>
    </w:p>
    <w:p w14:paraId="29BD9F7F">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173" w:name="_Toc21904"/>
      <w:bookmarkStart w:id="174" w:name="_Toc11948"/>
      <w:r>
        <w:rPr>
          <w:rFonts w:hint="eastAsia" w:ascii="仿宋" w:hAnsi="仿宋" w:eastAsia="仿宋" w:cs="仿宋"/>
          <w:b/>
          <w:bCs/>
          <w:sz w:val="30"/>
          <w:szCs w:val="30"/>
          <w:lang w:val="en-US" w:eastAsia="zh-CN"/>
        </w:rPr>
        <w:t>6.1.5</w:t>
      </w:r>
      <w:bookmarkEnd w:id="173"/>
      <w:r>
        <w:rPr>
          <w:rFonts w:hint="eastAsia" w:ascii="仿宋" w:hAnsi="仿宋" w:eastAsia="仿宋" w:cs="仿宋"/>
          <w:b/>
          <w:bCs/>
          <w:sz w:val="30"/>
          <w:szCs w:val="30"/>
          <w:lang w:val="en-US" w:eastAsia="zh-CN"/>
        </w:rPr>
        <w:t>推进党风廉政建设，营造风清气正环境</w:t>
      </w:r>
      <w:bookmarkEnd w:id="174"/>
    </w:p>
    <w:p w14:paraId="52052A8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以健全监督体系为核心，构建学校“党内监督+群众监督+舆论监督”三位一体监督机制：一是深化党内监督，严格落实民主生活会、组织生活会、述职述廉等制度，全年开展总支班子成员廉政谈话7人次；二是拓宽群众监督渠道，在各系支部办公室设置“学生意见箱”、开通监督热线，接受校内外群众监督，累计收集师生意见建议20余条，办结率100%；三是强化舆论监督，通过校园电子屏、宣传栏等推送廉政监督警示标语，营造崇廉尚洁、守廉拒腐、清廉校园文化，确保全面从严治党要求落地见效，为党风廉政建设提供良好氛围环境。</w:t>
      </w:r>
    </w:p>
    <w:p w14:paraId="3B990F34">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2"/>
        <w:rPr>
          <w:rFonts w:hint="eastAsia" w:ascii="仿宋" w:hAnsi="仿宋" w:eastAsia="仿宋" w:cs="仿宋"/>
          <w:b/>
          <w:bCs/>
          <w:color w:val="auto"/>
          <w:sz w:val="30"/>
          <w:szCs w:val="30"/>
          <w:lang w:eastAsia="zh-CN"/>
        </w:rPr>
      </w:pPr>
      <w:bookmarkStart w:id="175" w:name="_Toc8210"/>
      <w:bookmarkStart w:id="176" w:name="_Toc29121"/>
      <w:r>
        <w:rPr>
          <w:rFonts w:hint="eastAsia" w:ascii="仿宋" w:hAnsi="仿宋" w:eastAsia="仿宋" w:cs="仿宋"/>
          <w:b/>
          <w:bCs/>
          <w:color w:val="auto"/>
          <w:sz w:val="30"/>
          <w:szCs w:val="30"/>
          <w:lang w:val="en-US" w:eastAsia="zh-CN"/>
        </w:rPr>
        <w:t>6.1.6</w:t>
      </w:r>
      <w:bookmarkEnd w:id="175"/>
      <w:r>
        <w:rPr>
          <w:rFonts w:hint="eastAsia" w:ascii="仿宋" w:hAnsi="仿宋" w:eastAsia="仿宋" w:cs="仿宋"/>
          <w:b/>
          <w:bCs/>
          <w:color w:val="auto"/>
          <w:sz w:val="30"/>
          <w:szCs w:val="30"/>
          <w:lang w:val="en-US" w:eastAsia="zh-CN"/>
        </w:rPr>
        <w:t>引领统战群团工作，凝聚协同发展合力</w:t>
      </w:r>
      <w:bookmarkEnd w:id="176"/>
    </w:p>
    <w:p w14:paraId="7105D84E">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9"/>
        <w:rPr>
          <w:rFonts w:hint="eastAsia" w:ascii="仿宋" w:hAnsi="仿宋" w:eastAsia="仿宋" w:cs="仿宋"/>
          <w:b w:val="0"/>
          <w:bCs w:val="0"/>
          <w:color w:val="auto"/>
          <w:sz w:val="30"/>
          <w:szCs w:val="30"/>
        </w:rPr>
      </w:pPr>
      <w:r>
        <w:rPr>
          <w:rFonts w:hint="eastAsia" w:ascii="仿宋" w:hAnsi="仿宋" w:eastAsia="仿宋" w:cs="仿宋"/>
          <w:b w:val="0"/>
          <w:bCs w:val="0"/>
          <w:color w:val="auto"/>
          <w:sz w:val="30"/>
          <w:szCs w:val="30"/>
        </w:rPr>
        <w:t>1.学校党总支充分发挥核心引领作用，以《中国共产党统一战线工作条例》为根本遵循，强化统战对象政治引领与思想引导：</w:t>
      </w:r>
      <w:r>
        <w:rPr>
          <w:rFonts w:hint="eastAsia" w:ascii="仿宋" w:hAnsi="仿宋" w:eastAsia="仿宋" w:cs="仿宋"/>
          <w:b w:val="0"/>
          <w:bCs w:val="0"/>
          <w:color w:val="auto"/>
          <w:sz w:val="30"/>
          <w:szCs w:val="30"/>
          <w:lang w:eastAsia="zh-CN"/>
        </w:rPr>
        <w:t>邀请</w:t>
      </w:r>
      <w:r>
        <w:rPr>
          <w:rFonts w:hint="eastAsia" w:ascii="仿宋" w:hAnsi="仿宋" w:eastAsia="仿宋" w:cs="仿宋"/>
          <w:b w:val="0"/>
          <w:bCs w:val="0"/>
          <w:color w:val="auto"/>
          <w:sz w:val="30"/>
          <w:szCs w:val="30"/>
        </w:rPr>
        <w:t>民主党派教师、少数民族</w:t>
      </w:r>
      <w:r>
        <w:rPr>
          <w:rFonts w:hint="eastAsia" w:ascii="仿宋" w:hAnsi="仿宋" w:eastAsia="仿宋" w:cs="仿宋"/>
          <w:b w:val="0"/>
          <w:bCs w:val="0"/>
          <w:color w:val="auto"/>
          <w:sz w:val="30"/>
          <w:szCs w:val="30"/>
          <w:lang w:eastAsia="zh-CN"/>
        </w:rPr>
        <w:t>师生等，</w:t>
      </w:r>
      <w:r>
        <w:rPr>
          <w:rFonts w:hint="eastAsia" w:ascii="仿宋" w:hAnsi="仿宋" w:eastAsia="仿宋" w:cs="仿宋"/>
          <w:b w:val="0"/>
          <w:bCs w:val="0"/>
          <w:color w:val="auto"/>
          <w:sz w:val="30"/>
          <w:szCs w:val="30"/>
        </w:rPr>
        <w:t>开展民族宗教政策宣传教育活动</w:t>
      </w:r>
      <w:r>
        <w:rPr>
          <w:rFonts w:hint="eastAsia" w:ascii="仿宋" w:hAnsi="仿宋" w:eastAsia="仿宋" w:cs="仿宋"/>
          <w:b w:val="0"/>
          <w:bCs w:val="0"/>
          <w:color w:val="auto"/>
          <w:sz w:val="30"/>
          <w:szCs w:val="30"/>
          <w:lang w:val="en-US" w:eastAsia="zh-CN"/>
        </w:rPr>
        <w:t>1</w:t>
      </w:r>
      <w:r>
        <w:rPr>
          <w:rFonts w:hint="eastAsia" w:ascii="仿宋" w:hAnsi="仿宋" w:eastAsia="仿宋" w:cs="仿宋"/>
          <w:b w:val="0"/>
          <w:bCs w:val="0"/>
          <w:color w:val="auto"/>
          <w:sz w:val="30"/>
          <w:szCs w:val="30"/>
        </w:rPr>
        <w:t>场，排查校园宗教渗透风险点</w:t>
      </w:r>
      <w:r>
        <w:rPr>
          <w:rFonts w:hint="eastAsia" w:ascii="仿宋" w:hAnsi="仿宋" w:eastAsia="仿宋" w:cs="仿宋"/>
          <w:b w:val="0"/>
          <w:bCs w:val="0"/>
          <w:color w:val="auto"/>
          <w:sz w:val="30"/>
          <w:szCs w:val="30"/>
          <w:lang w:val="en-US" w:eastAsia="zh-CN"/>
        </w:rPr>
        <w:t>1</w:t>
      </w:r>
      <w:r>
        <w:rPr>
          <w:rFonts w:hint="eastAsia" w:ascii="仿宋" w:hAnsi="仿宋" w:eastAsia="仿宋" w:cs="仿宋"/>
          <w:b w:val="0"/>
          <w:bCs w:val="0"/>
          <w:color w:val="auto"/>
          <w:sz w:val="30"/>
          <w:szCs w:val="30"/>
        </w:rPr>
        <w:t>项，建立“一对一”联系服务机制，切实筑牢统战领域思想防线，有效凝聚了多元主体参与学校发展的合力。</w:t>
      </w:r>
    </w:p>
    <w:p w14:paraId="690391FD">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b w:val="0"/>
          <w:bCs w:val="0"/>
          <w:color w:val="auto"/>
          <w:sz w:val="30"/>
          <w:szCs w:val="30"/>
          <w:lang w:val="en-US" w:eastAsia="zh-CN"/>
        </w:rPr>
      </w:pPr>
      <w:r>
        <w:rPr>
          <w:rFonts w:hint="eastAsia" w:ascii="仿宋" w:hAnsi="仿宋" w:eastAsia="仿宋" w:cs="仿宋"/>
          <w:b w:val="0"/>
          <w:bCs w:val="0"/>
          <w:color w:val="auto"/>
          <w:sz w:val="30"/>
          <w:szCs w:val="30"/>
          <w:lang w:val="en-US" w:eastAsia="zh-CN"/>
        </w:rPr>
        <w:t>2</w:t>
      </w:r>
      <w:r>
        <w:rPr>
          <w:rFonts w:hint="eastAsia" w:ascii="仿宋" w:hAnsi="仿宋" w:eastAsia="仿宋" w:cs="仿宋"/>
          <w:b w:val="0"/>
          <w:bCs w:val="0"/>
          <w:color w:val="auto"/>
          <w:sz w:val="30"/>
          <w:szCs w:val="30"/>
        </w:rPr>
        <w:t>.党总支始终坚持“政治上尊重、思想上关心、生活上照顾”的工作原则，扎实做好离退休干部服务管理工作。常态化组织离退休党员开展学习活动，及时传达上级重要会议精神，确保老同志紧跟政策方向与发展大局；全面落实老同志各项政治待遇，主动走访慰问生病、困难老同志，用心用情解决他们生活中的实际问题，让老同志切实感受到组织的关怀与温暖；积极搭建建言献策平台，邀请老同志参与学校发展研讨，充分发挥其经验优势与智囊作用；相关工作成效显著，有效激发了老同志的归属感与责任感，推动他们继续为学校发展贡献余热。</w:t>
      </w:r>
    </w:p>
    <w:p w14:paraId="4A7F896B">
      <w:pPr>
        <w:pageBreakBefore w:val="0"/>
        <w:kinsoku/>
        <w:wordWrap/>
        <w:overflowPunct/>
        <w:topLinePunct w:val="0"/>
        <w:autoSpaceDE/>
        <w:autoSpaceDN/>
        <w:bidi w:val="0"/>
        <w:adjustRightInd/>
        <w:snapToGrid/>
        <w:spacing w:line="500" w:lineRule="exact"/>
        <w:ind w:firstLine="600" w:firstLineChars="200"/>
        <w:outlineLvl w:val="9"/>
        <w:rPr>
          <w:rFonts w:hint="eastAsia" w:ascii="仿宋_GB2312" w:hAnsi="Yu Mincho Light" w:eastAsia="仿宋_GB2312" w:cs="Yu Mincho Light"/>
          <w:b/>
          <w:bCs/>
          <w:sz w:val="32"/>
          <w:lang w:val="en-US" w:eastAsia="zh-CN"/>
        </w:rPr>
      </w:pPr>
      <w:r>
        <w:rPr>
          <w:rFonts w:hint="eastAsia" w:ascii="仿宋" w:hAnsi="仿宋" w:eastAsia="仿宋" w:cs="仿宋"/>
          <w:sz w:val="30"/>
          <w:szCs w:val="30"/>
          <w:lang w:eastAsia="zh-CN"/>
        </w:rPr>
        <w:t>总之，</w:t>
      </w:r>
      <w:r>
        <w:rPr>
          <w:rFonts w:hint="eastAsia" w:ascii="仿宋" w:hAnsi="仿宋" w:eastAsia="仿宋" w:cs="仿宋"/>
          <w:sz w:val="30"/>
          <w:szCs w:val="30"/>
          <w:lang w:val="en-US" w:eastAsia="zh-CN"/>
        </w:rPr>
        <w:t>在新一年里，我校</w:t>
      </w:r>
      <w:r>
        <w:rPr>
          <w:rFonts w:hint="eastAsia" w:ascii="仿宋" w:hAnsi="仿宋" w:eastAsia="仿宋" w:cs="仿宋"/>
          <w:sz w:val="30"/>
          <w:szCs w:val="30"/>
        </w:rPr>
        <w:t>党总支</w:t>
      </w:r>
      <w:r>
        <w:rPr>
          <w:rFonts w:hint="eastAsia" w:ascii="仿宋" w:hAnsi="仿宋" w:eastAsia="仿宋" w:cs="仿宋"/>
          <w:sz w:val="30"/>
          <w:szCs w:val="30"/>
          <w:lang w:eastAsia="zh-CN"/>
        </w:rPr>
        <w:t>将坚决执行党中央的方针政策，落实上级党委的工作部署，并结合我校的工作实际，继续深化思想引领、党纪教育与意识形态建设，强化组织堡垒，推进廉政建设，凝聚统战群团合力，引领学校工作高质量发展，为地区经济发展，提供坚实人才支撑，打造党建引领新的篇章。</w:t>
      </w:r>
    </w:p>
    <w:p w14:paraId="3D6E4BEF">
      <w:pPr>
        <w:spacing w:line="580" w:lineRule="exact"/>
        <w:outlineLvl w:val="1"/>
        <w:rPr>
          <w:rFonts w:hint="eastAsia" w:ascii="仿宋_GB2312" w:hAnsi="Yu Mincho Light" w:eastAsia="仿宋_GB2312" w:cs="Yu Mincho Light"/>
          <w:b/>
          <w:bCs/>
          <w:color w:val="FF0000"/>
          <w:sz w:val="28"/>
          <w:szCs w:val="28"/>
          <w:lang w:eastAsia="zh-CN"/>
        </w:rPr>
      </w:pPr>
      <w:bookmarkStart w:id="177" w:name="_Toc15925"/>
      <w:r>
        <w:rPr>
          <w:rFonts w:hint="eastAsia" w:ascii="仿宋_GB2312" w:hAnsi="Yu Mincho Light" w:eastAsia="仿宋_GB2312" w:cs="Yu Mincho Light"/>
          <w:b/>
          <w:bCs/>
          <w:sz w:val="32"/>
          <w:lang w:val="en-US" w:eastAsia="zh-CN"/>
        </w:rPr>
        <w:t>6</w:t>
      </w:r>
      <w:r>
        <w:rPr>
          <w:rFonts w:hint="eastAsia" w:ascii="仿宋_GB2312" w:hAnsi="Yu Mincho Light" w:eastAsia="仿宋_GB2312" w:cs="Yu Mincho Light"/>
          <w:b/>
          <w:bCs/>
          <w:sz w:val="32"/>
        </w:rPr>
        <w:t>.2政策落实</w:t>
      </w:r>
      <w:bookmarkEnd w:id="177"/>
    </w:p>
    <w:p w14:paraId="2BA65FC5">
      <w:pPr>
        <w:pageBreakBefore w:val="0"/>
        <w:widowControl/>
        <w:tabs>
          <w:tab w:val="left" w:pos="0"/>
        </w:tabs>
        <w:kinsoku/>
        <w:wordWrap/>
        <w:overflowPunct/>
        <w:topLinePunct w:val="0"/>
        <w:autoSpaceDE/>
        <w:autoSpaceDN/>
        <w:bidi w:val="0"/>
        <w:adjustRightInd/>
        <w:snapToGrid/>
        <w:spacing w:before="0" w:beforeAutospacing="0" w:after="0" w:afterAutospacing="0" w:line="500" w:lineRule="exact"/>
        <w:ind w:left="0" w:firstLine="602" w:firstLineChars="200"/>
        <w:textAlignment w:val="auto"/>
        <w:outlineLvl w:val="2"/>
        <w:rPr>
          <w:rFonts w:hint="eastAsia" w:ascii="仿宋" w:hAnsi="仿宋" w:eastAsia="仿宋" w:cs="仿宋"/>
          <w:b/>
          <w:bCs/>
          <w:i w:val="0"/>
          <w:iCs w:val="0"/>
          <w:sz w:val="30"/>
          <w:szCs w:val="30"/>
        </w:rPr>
      </w:pPr>
      <w:bookmarkStart w:id="178" w:name="_Toc19183"/>
      <w:r>
        <w:rPr>
          <w:rFonts w:hint="eastAsia" w:ascii="仿宋" w:hAnsi="仿宋" w:eastAsia="仿宋" w:cs="仿宋"/>
          <w:b/>
          <w:bCs/>
          <w:i w:val="0"/>
          <w:iCs w:val="0"/>
          <w:sz w:val="30"/>
          <w:szCs w:val="30"/>
          <w:lang w:val="en-US" w:eastAsia="zh-CN"/>
        </w:rPr>
        <w:t>6</w:t>
      </w:r>
      <w:r>
        <w:rPr>
          <w:rFonts w:hint="eastAsia" w:ascii="仿宋" w:hAnsi="仿宋" w:eastAsia="仿宋" w:cs="仿宋"/>
          <w:b/>
          <w:bCs/>
          <w:i w:val="0"/>
          <w:iCs w:val="0"/>
          <w:sz w:val="30"/>
          <w:szCs w:val="30"/>
        </w:rPr>
        <w:t>.2.1 国家政策落实</w:t>
      </w:r>
      <w:bookmarkEnd w:id="178"/>
    </w:p>
    <w:p w14:paraId="678289C3">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1.</w:t>
      </w:r>
      <w:r>
        <w:rPr>
          <w:rFonts w:hint="eastAsia" w:ascii="仿宋" w:hAnsi="仿宋" w:eastAsia="仿宋" w:cs="仿宋"/>
          <w:b w:val="0"/>
          <w:bCs w:val="0"/>
          <w:i w:val="0"/>
          <w:iCs w:val="0"/>
          <w:sz w:val="30"/>
          <w:szCs w:val="30"/>
        </w:rPr>
        <w:t>学生资助政策全覆盖深化</w:t>
      </w:r>
    </w:p>
    <w:p w14:paraId="5045A263">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多渠道向师生、家长及社会广泛宣传国家学生资助政策，确保政策知晓率100%，保障学生应享尽享。2024年秋季，全日制在校生中187人享受国家助学金、2896人享受国家免学费；2025年春季，298人享受国家助学金、2874人享受国家免学费。同时，对品学兼优学生实施奖励：2025级入学成绩559分以上学生每人奖励600元，合计8400元；2023级学考班2024-2025学年奖励3次，合计9450元；社会助学30人，每人500元合计15000元。</w:t>
      </w:r>
    </w:p>
    <w:p w14:paraId="2C1F3983">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2.</w:t>
      </w:r>
      <w:r>
        <w:rPr>
          <w:rFonts w:hint="eastAsia" w:ascii="仿宋" w:hAnsi="仿宋" w:eastAsia="仿宋" w:cs="仿宋"/>
          <w:b w:val="0"/>
          <w:bCs w:val="0"/>
          <w:i w:val="0"/>
          <w:iCs w:val="0"/>
          <w:sz w:val="30"/>
          <w:szCs w:val="30"/>
        </w:rPr>
        <w:t>产教融合实训基地提质扩容</w:t>
      </w:r>
    </w:p>
    <w:p w14:paraId="61731C57">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拥有建筑工程施工、机电技术应用2个省级服务产业特色专业群，以及中央财政支持的建筑工程施工、金属压力加工实训基地；建成工程材料检测生产性产教融合实训基地、装配式建筑示范性虚拟仿真实训基地2个省级示范性实训基地。深化产教融合，推动校企共同开发课程、开展生产性实习实训，实现“教学过程生产化、评价标准企业化”，精准服务区域产业发展。</w:t>
      </w:r>
    </w:p>
    <w:p w14:paraId="27DF54CC">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3.</w:t>
      </w:r>
      <w:r>
        <w:rPr>
          <w:rFonts w:hint="eastAsia" w:ascii="仿宋" w:hAnsi="仿宋" w:eastAsia="仿宋" w:cs="仿宋"/>
          <w:b w:val="0"/>
          <w:bCs w:val="0"/>
          <w:i w:val="0"/>
          <w:iCs w:val="0"/>
          <w:sz w:val="30"/>
          <w:szCs w:val="30"/>
        </w:rPr>
        <w:t>社会培训服务能力升级</w:t>
      </w:r>
    </w:p>
    <w:p w14:paraId="1F4BFA93">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依托“建筑人才培训中心”及职教师资优势，面向重点群体开展专项培训：</w:t>
      </w:r>
    </w:p>
    <w:p w14:paraId="68817C05">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上杭县建筑人才培训中心年培训施工现场专业人员、乡村建设工匠</w:t>
      </w:r>
      <w:r>
        <w:rPr>
          <w:rFonts w:hint="eastAsia" w:ascii="仿宋" w:hAnsi="仿宋" w:eastAsia="仿宋" w:cs="仿宋"/>
          <w:b w:val="0"/>
          <w:bCs w:val="0"/>
          <w:i w:val="0"/>
          <w:iCs w:val="0"/>
          <w:sz w:val="30"/>
          <w:szCs w:val="30"/>
          <w:lang w:eastAsia="zh-CN"/>
        </w:rPr>
        <w:t>、</w:t>
      </w:r>
      <w:r>
        <w:rPr>
          <w:rFonts w:hint="eastAsia" w:ascii="仿宋" w:hAnsi="仿宋" w:eastAsia="仿宋" w:cs="仿宋"/>
          <w:b w:val="0"/>
          <w:bCs w:val="0"/>
          <w:sz w:val="30"/>
          <w:szCs w:val="30"/>
          <w:lang w:val="en-US" w:eastAsia="zh-CN"/>
        </w:rPr>
        <w:t>八大员和安管人员</w:t>
      </w:r>
      <w:r>
        <w:rPr>
          <w:rFonts w:hint="eastAsia" w:ascii="仿宋" w:hAnsi="仿宋" w:eastAsia="仿宋" w:cs="仿宋"/>
          <w:b w:val="0"/>
          <w:bCs w:val="0"/>
          <w:i w:val="0"/>
          <w:iCs w:val="0"/>
          <w:sz w:val="30"/>
          <w:szCs w:val="30"/>
        </w:rPr>
        <w:t>等1万余人次，助力县域建筑产业转型升级；</w:t>
      </w:r>
    </w:p>
    <w:p w14:paraId="0D45B5E1">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开设老年教育课程12门，年培训</w:t>
      </w:r>
      <w:r>
        <w:rPr>
          <w:rFonts w:hint="eastAsia" w:ascii="仿宋" w:hAnsi="仿宋" w:eastAsia="仿宋" w:cs="仿宋"/>
          <w:b w:val="0"/>
          <w:bCs w:val="0"/>
          <w:i w:val="0"/>
          <w:iCs w:val="0"/>
          <w:sz w:val="30"/>
          <w:szCs w:val="30"/>
          <w:lang w:val="en-US" w:eastAsia="zh-CN"/>
        </w:rPr>
        <w:t>188</w:t>
      </w:r>
      <w:r>
        <w:rPr>
          <w:rFonts w:hint="eastAsia" w:ascii="仿宋" w:hAnsi="仿宋" w:eastAsia="仿宋" w:cs="仿宋"/>
          <w:b w:val="0"/>
          <w:bCs w:val="0"/>
          <w:i w:val="0"/>
          <w:iCs w:val="0"/>
          <w:sz w:val="30"/>
          <w:szCs w:val="30"/>
        </w:rPr>
        <w:t>人；</w:t>
      </w:r>
    </w:p>
    <w:p w14:paraId="3D50B9D1">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开展退役军人适应性培训80人次、学历提升教育覆盖1000余人，获评“福建省退役军人就业创业园地”；</w:t>
      </w:r>
    </w:p>
    <w:p w14:paraId="160B2097">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提供高素质农民、劳动力转移、家政服务等专业短期培训，年均培训4000余人次，效果显著获社会好评。</w:t>
      </w:r>
    </w:p>
    <w:p w14:paraId="1DC46D2D">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4.</w:t>
      </w:r>
      <w:r>
        <w:rPr>
          <w:rFonts w:hint="eastAsia" w:ascii="仿宋" w:hAnsi="仿宋" w:eastAsia="仿宋" w:cs="仿宋"/>
          <w:b w:val="0"/>
          <w:bCs w:val="0"/>
          <w:i w:val="0"/>
          <w:iCs w:val="0"/>
          <w:sz w:val="30"/>
          <w:szCs w:val="30"/>
        </w:rPr>
        <w:t>育人体系建设深化</w:t>
      </w:r>
    </w:p>
    <w:p w14:paraId="6D4A5E7E">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落实国家育人管理政策，加强教师思想政治与师德师风建设，完善立德树人机制，开展丰富校园文化活动并融入劳动教育，促进学生全面发展。严格执行职业教育实习管理政策，组织教职工实习管理专项培训，完善实习机制与应急预案，统一购买实习责任保险，定期走访实习学生，全面保障学生实习权益。</w:t>
      </w:r>
    </w:p>
    <w:p w14:paraId="45DB9B4F">
      <w:pPr>
        <w:pageBreakBefore w:val="0"/>
        <w:widowControl/>
        <w:tabs>
          <w:tab w:val="left" w:pos="0"/>
        </w:tabs>
        <w:kinsoku/>
        <w:wordWrap/>
        <w:overflowPunct/>
        <w:topLinePunct w:val="0"/>
        <w:autoSpaceDE/>
        <w:autoSpaceDN/>
        <w:bidi w:val="0"/>
        <w:adjustRightInd/>
        <w:snapToGrid/>
        <w:spacing w:before="0" w:beforeAutospacing="0" w:after="0" w:afterAutospacing="0" w:line="500" w:lineRule="exact"/>
        <w:ind w:left="0" w:firstLine="602" w:firstLineChars="200"/>
        <w:textAlignment w:val="auto"/>
        <w:outlineLvl w:val="2"/>
        <w:rPr>
          <w:rFonts w:hint="eastAsia" w:ascii="仿宋" w:hAnsi="仿宋" w:eastAsia="仿宋" w:cs="仿宋"/>
          <w:b/>
          <w:bCs/>
          <w:i w:val="0"/>
          <w:iCs w:val="0"/>
          <w:sz w:val="30"/>
          <w:szCs w:val="30"/>
        </w:rPr>
      </w:pPr>
      <w:bookmarkStart w:id="179" w:name="_Toc29934"/>
      <w:r>
        <w:rPr>
          <w:rFonts w:hint="eastAsia" w:ascii="仿宋" w:hAnsi="仿宋" w:eastAsia="仿宋" w:cs="仿宋"/>
          <w:b/>
          <w:bCs/>
          <w:i w:val="0"/>
          <w:iCs w:val="0"/>
          <w:sz w:val="30"/>
          <w:szCs w:val="30"/>
          <w:lang w:val="en-US" w:eastAsia="zh-CN"/>
        </w:rPr>
        <w:t>6</w:t>
      </w:r>
      <w:r>
        <w:rPr>
          <w:rFonts w:hint="eastAsia" w:ascii="仿宋" w:hAnsi="仿宋" w:eastAsia="仿宋" w:cs="仿宋"/>
          <w:b/>
          <w:bCs/>
          <w:i w:val="0"/>
          <w:iCs w:val="0"/>
          <w:sz w:val="30"/>
          <w:szCs w:val="30"/>
        </w:rPr>
        <w:t>.2.2 地方政策落实</w:t>
      </w:r>
      <w:bookmarkEnd w:id="179"/>
    </w:p>
    <w:p w14:paraId="2FA3128B">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围绕福建省“双高计划”“职业教育十条措施”，重点推进办学质量提升、专业建设优化、师资队伍强化等工作，全面增强职业教育服务区域经济社会发展的核心能力。</w:t>
      </w:r>
    </w:p>
    <w:p w14:paraId="1E2C86A3">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1.</w:t>
      </w:r>
      <w:r>
        <w:rPr>
          <w:rFonts w:hint="eastAsia" w:ascii="仿宋" w:hAnsi="仿宋" w:eastAsia="仿宋" w:cs="仿宋"/>
          <w:b w:val="0"/>
          <w:bCs w:val="0"/>
          <w:i w:val="0"/>
          <w:iCs w:val="0"/>
          <w:sz w:val="30"/>
          <w:szCs w:val="30"/>
        </w:rPr>
        <w:t>双高建设成效跃升</w:t>
      </w:r>
    </w:p>
    <w:p w14:paraId="6E8F197D">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举全校之力推进省级高水平学校及专业群建设，定期召开专题会议研判问题、解决难题、总结经验，高标准完成“双高”校终期验收，学校整体办学水平获省级肯定。</w:t>
      </w:r>
    </w:p>
    <w:p w14:paraId="026446CA">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2.</w:t>
      </w:r>
      <w:r>
        <w:rPr>
          <w:rFonts w:hint="eastAsia" w:ascii="仿宋" w:hAnsi="仿宋" w:eastAsia="仿宋" w:cs="仿宋"/>
          <w:b w:val="0"/>
          <w:bCs w:val="0"/>
          <w:i w:val="0"/>
          <w:iCs w:val="0"/>
          <w:sz w:val="30"/>
          <w:szCs w:val="30"/>
        </w:rPr>
        <w:t>双师型教师队伍提质扩容</w:t>
      </w:r>
    </w:p>
    <w:p w14:paraId="1D0878A9">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落实省级“双师型”教师认定标准，2025年新增92人，为学校高质量发展提供坚实师资支撑。</w:t>
      </w:r>
    </w:p>
    <w:p w14:paraId="59C6827F">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3.</w:t>
      </w:r>
      <w:r>
        <w:rPr>
          <w:rFonts w:hint="eastAsia" w:ascii="仿宋" w:hAnsi="仿宋" w:eastAsia="仿宋" w:cs="仿宋"/>
          <w:b w:val="0"/>
          <w:bCs w:val="0"/>
          <w:i w:val="0"/>
          <w:iCs w:val="0"/>
          <w:sz w:val="30"/>
          <w:szCs w:val="30"/>
        </w:rPr>
        <w:t>专业建设对接地方产业</w:t>
      </w:r>
    </w:p>
    <w:p w14:paraId="0F39C0EF">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紧扣上杭县“三三三”产业强县战略，动态调整专业设置：在建筑、金铜产业等传统专业基础上，新增金属压力加工、分析检验技术、首饰设计与制作、中医护理等专业，构建“产业需求→专业设置→人才输出”的良性闭环。</w:t>
      </w:r>
    </w:p>
    <w:p w14:paraId="68744CAD">
      <w:pPr>
        <w:pageBreakBefore w:val="0"/>
        <w:widowControl/>
        <w:numPr>
          <w:ilvl w:val="0"/>
          <w:numId w:val="0"/>
        </w:numPr>
        <w:kinsoku/>
        <w:wordWrap/>
        <w:overflowPunct/>
        <w:topLinePunct w:val="0"/>
        <w:autoSpaceDE/>
        <w:autoSpaceDN/>
        <w:bidi w:val="0"/>
        <w:adjustRightInd/>
        <w:snapToGrid/>
        <w:spacing w:before="0" w:beforeAutospacing="0" w:after="0" w:afterAutospacing="0" w:line="500" w:lineRule="exact"/>
        <w:ind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lang w:val="en-US" w:eastAsia="zh-CN"/>
        </w:rPr>
        <w:t>4.</w:t>
      </w:r>
      <w:r>
        <w:rPr>
          <w:rFonts w:hint="eastAsia" w:ascii="仿宋" w:hAnsi="仿宋" w:eastAsia="仿宋" w:cs="仿宋"/>
          <w:b w:val="0"/>
          <w:bCs w:val="0"/>
          <w:i w:val="0"/>
          <w:iCs w:val="0"/>
          <w:sz w:val="30"/>
          <w:szCs w:val="30"/>
        </w:rPr>
        <w:t>贯通培养体系走深走实</w:t>
      </w:r>
    </w:p>
    <w:p w14:paraId="6114A372">
      <w:pPr>
        <w:pageBreakBefore w:val="0"/>
        <w:widowControl/>
        <w:kinsoku/>
        <w:wordWrap/>
        <w:overflowPunct/>
        <w:topLinePunct w:val="0"/>
        <w:autoSpaceDE/>
        <w:autoSpaceDN/>
        <w:bidi w:val="0"/>
        <w:adjustRightInd/>
        <w:snapToGrid/>
        <w:spacing w:before="0" w:beforeAutospacing="0" w:after="0" w:afterAutospacing="0" w:line="500" w:lineRule="exact"/>
        <w:ind w:left="0" w:firstLine="600" w:firstLineChars="200"/>
        <w:textAlignment w:val="auto"/>
        <w:outlineLvl w:val="9"/>
        <w:rPr>
          <w:rFonts w:hint="eastAsia" w:ascii="仿宋" w:hAnsi="仿宋" w:eastAsia="仿宋" w:cs="仿宋"/>
          <w:b w:val="0"/>
          <w:bCs w:val="0"/>
          <w:i w:val="0"/>
          <w:iCs w:val="0"/>
          <w:sz w:val="30"/>
          <w:szCs w:val="30"/>
        </w:rPr>
      </w:pPr>
      <w:r>
        <w:rPr>
          <w:rFonts w:hint="eastAsia" w:ascii="仿宋" w:hAnsi="仿宋" w:eastAsia="仿宋" w:cs="仿宋"/>
          <w:b w:val="0"/>
          <w:bCs w:val="0"/>
          <w:i w:val="0"/>
          <w:iCs w:val="0"/>
          <w:sz w:val="30"/>
          <w:szCs w:val="30"/>
        </w:rPr>
        <w:t>深化“中职—高职—本科”贯通培养：紧密对接闽西职业技术学院，优化人才培养方案与教学内容，实现培养目标、专业设置、课程建设、教学过程一体化；与龙岩学院完成“3+4”中本贯通项目申报并待批，助力提升职业教育吸引力，填补闽西职教高层次人才培养空白。</w:t>
      </w:r>
    </w:p>
    <w:p w14:paraId="4CF38AC8">
      <w:pPr>
        <w:spacing w:line="580" w:lineRule="exact"/>
        <w:outlineLvl w:val="1"/>
        <w:rPr>
          <w:rFonts w:hint="eastAsia" w:ascii="仿宋_GB2312" w:hAnsi="Yu Mincho Light" w:eastAsia="仿宋_GB2312" w:cs="Yu Mincho Light"/>
          <w:b/>
          <w:bCs/>
          <w:color w:val="FF0000"/>
          <w:sz w:val="28"/>
          <w:szCs w:val="28"/>
          <w:lang w:val="en-US" w:eastAsia="zh-CN"/>
        </w:rPr>
      </w:pPr>
      <w:bookmarkStart w:id="180" w:name="_Toc21278"/>
      <w:r>
        <w:rPr>
          <w:rFonts w:hint="eastAsia" w:ascii="仿宋_GB2312" w:hAnsi="Yu Mincho Light" w:eastAsia="仿宋_GB2312" w:cs="Yu Mincho Light"/>
          <w:b/>
          <w:bCs/>
          <w:sz w:val="32"/>
          <w:lang w:val="en-US" w:eastAsia="zh-CN"/>
        </w:rPr>
        <w:t>6</w:t>
      </w:r>
      <w:r>
        <w:rPr>
          <w:rFonts w:hint="eastAsia" w:ascii="仿宋_GB2312" w:hAnsi="Yu Mincho Light" w:eastAsia="仿宋_GB2312" w:cs="Yu Mincho Light"/>
          <w:b/>
          <w:bCs/>
          <w:sz w:val="32"/>
        </w:rPr>
        <w:t>.</w:t>
      </w:r>
      <w:r>
        <w:rPr>
          <w:rFonts w:hint="eastAsia" w:ascii="仿宋_GB2312" w:hAnsi="Yu Mincho Light" w:eastAsia="仿宋_GB2312" w:cs="Yu Mincho Light"/>
          <w:b/>
          <w:bCs/>
          <w:sz w:val="32"/>
          <w:lang w:val="en-US" w:eastAsia="zh-CN"/>
        </w:rPr>
        <w:t xml:space="preserve">3 </w:t>
      </w:r>
      <w:r>
        <w:rPr>
          <w:rFonts w:hint="eastAsia" w:ascii="仿宋_GB2312" w:hAnsi="Yu Mincho Light" w:eastAsia="仿宋_GB2312" w:cs="Yu Mincho Light"/>
          <w:b/>
          <w:bCs/>
          <w:sz w:val="32"/>
        </w:rPr>
        <w:t>经费</w:t>
      </w:r>
      <w:r>
        <w:rPr>
          <w:rFonts w:hint="eastAsia" w:ascii="仿宋_GB2312" w:hAnsi="Yu Mincho Light" w:eastAsia="仿宋_GB2312" w:cs="Yu Mincho Light"/>
          <w:b/>
          <w:bCs/>
          <w:sz w:val="32"/>
          <w:lang w:eastAsia="zh-CN"/>
        </w:rPr>
        <w:t>保障</w:t>
      </w:r>
      <w:bookmarkEnd w:id="180"/>
    </w:p>
    <w:p w14:paraId="355FA5D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w:t>
      </w:r>
      <w:r>
        <w:rPr>
          <w:rFonts w:hint="eastAsia" w:ascii="仿宋" w:hAnsi="仿宋" w:eastAsia="仿宋" w:cs="仿宋"/>
          <w:sz w:val="30"/>
          <w:szCs w:val="30"/>
          <w:lang w:val="en-US" w:eastAsia="zh-CN"/>
        </w:rPr>
        <w:t>.</w:t>
      </w:r>
      <w:r>
        <w:rPr>
          <w:rFonts w:hint="eastAsia" w:ascii="仿宋" w:hAnsi="仿宋" w:eastAsia="仿宋" w:cs="仿宋"/>
          <w:sz w:val="30"/>
          <w:szCs w:val="30"/>
        </w:rPr>
        <w:t>政策经费落实情况：县财政将教育费附加30%如数拨给我校，202</w:t>
      </w:r>
      <w:r>
        <w:rPr>
          <w:rFonts w:hint="eastAsia" w:ascii="仿宋" w:hAnsi="仿宋" w:eastAsia="仿宋" w:cs="仿宋"/>
          <w:sz w:val="30"/>
          <w:szCs w:val="30"/>
          <w:lang w:val="en-US" w:eastAsia="zh-CN"/>
        </w:rPr>
        <w:t>4</w:t>
      </w:r>
      <w:r>
        <w:rPr>
          <w:rFonts w:hint="eastAsia" w:ascii="仿宋" w:hAnsi="仿宋" w:eastAsia="仿宋" w:cs="仿宋"/>
          <w:sz w:val="30"/>
          <w:szCs w:val="30"/>
        </w:rPr>
        <w:t>年度已拨付</w:t>
      </w:r>
      <w:r>
        <w:rPr>
          <w:rFonts w:hint="eastAsia" w:ascii="仿宋" w:hAnsi="仿宋" w:eastAsia="仿宋" w:cs="仿宋"/>
          <w:sz w:val="30"/>
          <w:szCs w:val="30"/>
          <w:lang w:val="en-US" w:eastAsia="zh-CN"/>
        </w:rPr>
        <w:t>900</w:t>
      </w:r>
      <w:r>
        <w:rPr>
          <w:rFonts w:hint="eastAsia" w:ascii="仿宋" w:hAnsi="仿宋" w:eastAsia="仿宋" w:cs="仿宋"/>
          <w:sz w:val="30"/>
          <w:szCs w:val="30"/>
        </w:rPr>
        <w:t>万元，202</w:t>
      </w:r>
      <w:r>
        <w:rPr>
          <w:rFonts w:hint="eastAsia" w:ascii="仿宋" w:hAnsi="仿宋" w:eastAsia="仿宋" w:cs="仿宋"/>
          <w:sz w:val="30"/>
          <w:szCs w:val="30"/>
          <w:lang w:val="en-US" w:eastAsia="zh-CN"/>
        </w:rPr>
        <w:t>5</w:t>
      </w:r>
      <w:r>
        <w:rPr>
          <w:rFonts w:hint="eastAsia" w:ascii="仿宋" w:hAnsi="仿宋" w:eastAsia="仿宋" w:cs="仿宋"/>
          <w:sz w:val="30"/>
          <w:szCs w:val="30"/>
        </w:rPr>
        <w:t>年度</w:t>
      </w:r>
      <w:r>
        <w:rPr>
          <w:rFonts w:hint="eastAsia" w:ascii="仿宋" w:hAnsi="仿宋" w:eastAsia="仿宋" w:cs="仿宋"/>
          <w:sz w:val="30"/>
          <w:szCs w:val="30"/>
          <w:lang w:eastAsia="zh-CN"/>
        </w:rPr>
        <w:t>截止</w:t>
      </w:r>
      <w:r>
        <w:rPr>
          <w:rFonts w:hint="eastAsia" w:ascii="仿宋" w:hAnsi="仿宋" w:eastAsia="仿宋" w:cs="仿宋"/>
          <w:sz w:val="30"/>
          <w:szCs w:val="30"/>
        </w:rPr>
        <w:t>11月30日已拨付</w:t>
      </w:r>
      <w:r>
        <w:rPr>
          <w:rFonts w:hint="eastAsia" w:ascii="仿宋" w:hAnsi="仿宋" w:eastAsia="仿宋" w:cs="仿宋"/>
          <w:sz w:val="30"/>
          <w:szCs w:val="30"/>
          <w:lang w:val="en-US" w:eastAsia="zh-CN"/>
        </w:rPr>
        <w:t>900</w:t>
      </w:r>
      <w:r>
        <w:rPr>
          <w:rFonts w:hint="eastAsia" w:ascii="仿宋" w:hAnsi="仿宋" w:eastAsia="仿宋" w:cs="仿宋"/>
          <w:sz w:val="30"/>
          <w:szCs w:val="30"/>
        </w:rPr>
        <w:t>万元。</w:t>
      </w:r>
    </w:p>
    <w:p w14:paraId="067B962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w:t>
      </w:r>
      <w:r>
        <w:rPr>
          <w:rFonts w:hint="eastAsia" w:ascii="仿宋" w:hAnsi="仿宋" w:eastAsia="仿宋" w:cs="仿宋"/>
          <w:sz w:val="30"/>
          <w:szCs w:val="30"/>
          <w:lang w:val="en-US" w:eastAsia="zh-CN"/>
        </w:rPr>
        <w:t>.</w:t>
      </w:r>
      <w:r>
        <w:rPr>
          <w:rFonts w:hint="eastAsia" w:ascii="仿宋" w:hAnsi="仿宋" w:eastAsia="仿宋" w:cs="仿宋"/>
          <w:sz w:val="30"/>
          <w:szCs w:val="30"/>
        </w:rPr>
        <w:t>生均拨款：202</w:t>
      </w:r>
      <w:r>
        <w:rPr>
          <w:rFonts w:hint="eastAsia" w:ascii="仿宋" w:hAnsi="仿宋" w:eastAsia="仿宋" w:cs="仿宋"/>
          <w:sz w:val="30"/>
          <w:szCs w:val="30"/>
          <w:lang w:val="en-US" w:eastAsia="zh-CN"/>
        </w:rPr>
        <w:t>4</w:t>
      </w:r>
      <w:r>
        <w:rPr>
          <w:rFonts w:hint="eastAsia" w:ascii="仿宋" w:hAnsi="仿宋" w:eastAsia="仿宋" w:cs="仿宋"/>
          <w:sz w:val="30"/>
          <w:szCs w:val="30"/>
        </w:rPr>
        <w:t>-202</w:t>
      </w:r>
      <w:r>
        <w:rPr>
          <w:rFonts w:hint="eastAsia" w:ascii="仿宋" w:hAnsi="仿宋" w:eastAsia="仿宋" w:cs="仿宋"/>
          <w:sz w:val="30"/>
          <w:szCs w:val="30"/>
          <w:lang w:val="en-US" w:eastAsia="zh-CN"/>
        </w:rPr>
        <w:t>5</w:t>
      </w:r>
      <w:r>
        <w:rPr>
          <w:rFonts w:hint="eastAsia" w:ascii="仿宋" w:hAnsi="仿宋" w:eastAsia="仿宋" w:cs="仿宋"/>
          <w:sz w:val="30"/>
          <w:szCs w:val="30"/>
        </w:rPr>
        <w:t>学年共拨付</w:t>
      </w:r>
      <w:r>
        <w:rPr>
          <w:rFonts w:hint="eastAsia" w:ascii="仿宋" w:hAnsi="仿宋" w:eastAsia="仿宋" w:cs="仿宋"/>
          <w:sz w:val="30"/>
          <w:szCs w:val="30"/>
          <w:lang w:val="en-US" w:eastAsia="zh-CN"/>
        </w:rPr>
        <w:t>1367.535</w:t>
      </w:r>
      <w:r>
        <w:rPr>
          <w:rFonts w:hint="eastAsia" w:ascii="仿宋" w:hAnsi="仿宋" w:eastAsia="仿宋" w:cs="仿宋"/>
          <w:sz w:val="30"/>
          <w:szCs w:val="30"/>
        </w:rPr>
        <w:t>万元。其中省财政202</w:t>
      </w:r>
      <w:r>
        <w:rPr>
          <w:rFonts w:hint="eastAsia" w:ascii="仿宋" w:hAnsi="仿宋" w:eastAsia="仿宋" w:cs="仿宋"/>
          <w:sz w:val="30"/>
          <w:szCs w:val="30"/>
          <w:lang w:val="en-US" w:eastAsia="zh-CN"/>
        </w:rPr>
        <w:t>4</w:t>
      </w:r>
      <w:r>
        <w:rPr>
          <w:rFonts w:hint="eastAsia" w:ascii="仿宋" w:hAnsi="仿宋" w:eastAsia="仿宋" w:cs="仿宋"/>
          <w:sz w:val="30"/>
          <w:szCs w:val="30"/>
        </w:rPr>
        <w:t>年秋季拨付</w:t>
      </w:r>
      <w:r>
        <w:rPr>
          <w:rFonts w:hint="eastAsia" w:ascii="仿宋" w:hAnsi="仿宋" w:eastAsia="仿宋" w:cs="仿宋"/>
          <w:sz w:val="30"/>
          <w:szCs w:val="30"/>
          <w:lang w:val="en-US" w:eastAsia="zh-CN"/>
        </w:rPr>
        <w:t>19.365</w:t>
      </w:r>
      <w:r>
        <w:rPr>
          <w:rFonts w:hint="eastAsia" w:ascii="仿宋" w:hAnsi="仿宋" w:eastAsia="仿宋" w:cs="仿宋"/>
          <w:sz w:val="30"/>
          <w:szCs w:val="30"/>
        </w:rPr>
        <w:t>万元，202</w:t>
      </w:r>
      <w:r>
        <w:rPr>
          <w:rFonts w:hint="eastAsia" w:ascii="仿宋" w:hAnsi="仿宋" w:eastAsia="仿宋" w:cs="仿宋"/>
          <w:sz w:val="30"/>
          <w:szCs w:val="30"/>
          <w:lang w:val="en-US" w:eastAsia="zh-CN"/>
        </w:rPr>
        <w:t>5</w:t>
      </w:r>
      <w:r>
        <w:rPr>
          <w:rFonts w:hint="eastAsia" w:ascii="仿宋" w:hAnsi="仿宋" w:eastAsia="仿宋" w:cs="仿宋"/>
          <w:sz w:val="30"/>
          <w:szCs w:val="30"/>
        </w:rPr>
        <w:t>年春季拨付</w:t>
      </w:r>
      <w:r>
        <w:rPr>
          <w:rFonts w:hint="eastAsia" w:ascii="仿宋" w:hAnsi="仿宋" w:eastAsia="仿宋" w:cs="仿宋"/>
          <w:sz w:val="30"/>
          <w:szCs w:val="30"/>
          <w:lang w:val="en-US" w:eastAsia="zh-CN"/>
        </w:rPr>
        <w:t>348.17</w:t>
      </w:r>
      <w:r>
        <w:rPr>
          <w:rFonts w:hint="eastAsia" w:ascii="仿宋" w:hAnsi="仿宋" w:eastAsia="仿宋" w:cs="仿宋"/>
          <w:sz w:val="30"/>
          <w:szCs w:val="30"/>
        </w:rPr>
        <w:t>万元；县财政配套202</w:t>
      </w:r>
      <w:r>
        <w:rPr>
          <w:rFonts w:hint="eastAsia" w:ascii="仿宋" w:hAnsi="仿宋" w:eastAsia="仿宋" w:cs="仿宋"/>
          <w:sz w:val="30"/>
          <w:szCs w:val="30"/>
          <w:lang w:val="en-US" w:eastAsia="zh-CN"/>
        </w:rPr>
        <w:t>4</w:t>
      </w:r>
      <w:r>
        <w:rPr>
          <w:rFonts w:hint="eastAsia" w:ascii="仿宋" w:hAnsi="仿宋" w:eastAsia="仿宋" w:cs="仿宋"/>
          <w:sz w:val="30"/>
          <w:szCs w:val="30"/>
        </w:rPr>
        <w:t>年秋季拨付</w:t>
      </w:r>
      <w:r>
        <w:rPr>
          <w:rFonts w:hint="eastAsia" w:ascii="仿宋" w:hAnsi="仿宋" w:eastAsia="仿宋" w:cs="仿宋"/>
          <w:sz w:val="30"/>
          <w:szCs w:val="30"/>
          <w:lang w:val="en-US" w:eastAsia="zh-CN"/>
        </w:rPr>
        <w:t>600</w:t>
      </w:r>
      <w:r>
        <w:rPr>
          <w:rFonts w:hint="eastAsia" w:ascii="仿宋" w:hAnsi="仿宋" w:eastAsia="仿宋" w:cs="仿宋"/>
          <w:sz w:val="30"/>
          <w:szCs w:val="30"/>
        </w:rPr>
        <w:t>万元，202</w:t>
      </w:r>
      <w:r>
        <w:rPr>
          <w:rFonts w:hint="eastAsia" w:ascii="仿宋" w:hAnsi="仿宋" w:eastAsia="仿宋" w:cs="仿宋"/>
          <w:sz w:val="30"/>
          <w:szCs w:val="30"/>
          <w:lang w:val="en-US" w:eastAsia="zh-CN"/>
        </w:rPr>
        <w:t>5</w:t>
      </w:r>
      <w:r>
        <w:rPr>
          <w:rFonts w:hint="eastAsia" w:ascii="仿宋" w:hAnsi="仿宋" w:eastAsia="仿宋" w:cs="仿宋"/>
          <w:sz w:val="30"/>
          <w:szCs w:val="30"/>
        </w:rPr>
        <w:t>年春季拨付</w:t>
      </w:r>
      <w:r>
        <w:rPr>
          <w:rFonts w:hint="eastAsia" w:ascii="仿宋" w:hAnsi="仿宋" w:eastAsia="仿宋" w:cs="仿宋"/>
          <w:sz w:val="30"/>
          <w:szCs w:val="30"/>
          <w:lang w:val="en-US" w:eastAsia="zh-CN"/>
        </w:rPr>
        <w:t>400</w:t>
      </w:r>
      <w:r>
        <w:rPr>
          <w:rFonts w:hint="eastAsia" w:ascii="仿宋" w:hAnsi="仿宋" w:eastAsia="仿宋" w:cs="仿宋"/>
          <w:sz w:val="30"/>
          <w:szCs w:val="30"/>
        </w:rPr>
        <w:t>万元。生均拨款县财政配套资金均由教育费附加30%中列支。</w:t>
      </w:r>
    </w:p>
    <w:p w14:paraId="5D2CE5B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3.202</w:t>
      </w:r>
      <w:r>
        <w:rPr>
          <w:rFonts w:hint="eastAsia" w:ascii="仿宋" w:hAnsi="仿宋" w:eastAsia="仿宋" w:cs="仿宋"/>
          <w:sz w:val="30"/>
          <w:szCs w:val="30"/>
          <w:lang w:val="en-US" w:eastAsia="zh-CN"/>
        </w:rPr>
        <w:t>5</w:t>
      </w:r>
      <w:r>
        <w:rPr>
          <w:rFonts w:hint="eastAsia" w:ascii="仿宋" w:hAnsi="仿宋" w:eastAsia="仿宋" w:cs="仿宋"/>
          <w:sz w:val="30"/>
          <w:szCs w:val="30"/>
        </w:rPr>
        <w:t>年度项目投入主要有：</w:t>
      </w:r>
    </w:p>
    <w:p w14:paraId="17C1B69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（1）现代职业教育发展专项资金：</w:t>
      </w:r>
      <w:r>
        <w:rPr>
          <w:rFonts w:hint="eastAsia" w:ascii="仿宋" w:hAnsi="仿宋" w:eastAsia="仿宋" w:cs="仿宋"/>
          <w:sz w:val="30"/>
          <w:szCs w:val="30"/>
          <w:lang w:val="en-US" w:eastAsia="zh-CN"/>
        </w:rPr>
        <w:t>20</w:t>
      </w:r>
      <w:r>
        <w:rPr>
          <w:rFonts w:hint="eastAsia" w:ascii="仿宋" w:hAnsi="仿宋" w:eastAsia="仿宋" w:cs="仿宋"/>
          <w:sz w:val="30"/>
          <w:szCs w:val="30"/>
        </w:rPr>
        <w:t>万元已到位；</w:t>
      </w:r>
    </w:p>
    <w:p w14:paraId="3172645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（2）龙岩市现代职业教育质量提升计划专项资金：</w:t>
      </w:r>
      <w:r>
        <w:rPr>
          <w:rFonts w:hint="eastAsia" w:ascii="仿宋" w:hAnsi="仿宋" w:eastAsia="仿宋" w:cs="仿宋"/>
          <w:sz w:val="30"/>
          <w:szCs w:val="30"/>
          <w:lang w:val="en-US" w:eastAsia="zh-CN"/>
        </w:rPr>
        <w:t>38</w:t>
      </w:r>
      <w:r>
        <w:rPr>
          <w:rFonts w:hint="eastAsia" w:ascii="仿宋" w:hAnsi="仿宋" w:eastAsia="仿宋" w:cs="仿宋"/>
          <w:sz w:val="30"/>
          <w:szCs w:val="30"/>
        </w:rPr>
        <w:t>万元已到位。</w:t>
      </w:r>
    </w:p>
    <w:p w14:paraId="3CF4365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（3）教育费附加</w:t>
      </w:r>
      <w:r>
        <w:rPr>
          <w:rFonts w:hint="eastAsia" w:ascii="仿宋" w:hAnsi="仿宋" w:eastAsia="仿宋" w:cs="仿宋"/>
          <w:sz w:val="30"/>
          <w:szCs w:val="30"/>
          <w:lang w:val="en-US" w:eastAsia="zh-CN"/>
        </w:rPr>
        <w:t>900</w:t>
      </w:r>
      <w:r>
        <w:rPr>
          <w:rFonts w:hint="eastAsia" w:ascii="仿宋" w:hAnsi="仿宋" w:eastAsia="仿宋" w:cs="仿宋"/>
          <w:sz w:val="30"/>
          <w:szCs w:val="30"/>
        </w:rPr>
        <w:t>万元按时足额拨付。</w:t>
      </w:r>
    </w:p>
    <w:p w14:paraId="22551B92">
      <w:pPr>
        <w:pageBreakBefore w:val="0"/>
        <w:kinsoku/>
        <w:wordWrap/>
        <w:overflowPunct/>
        <w:topLinePunct w:val="0"/>
        <w:autoSpaceDE/>
        <w:autoSpaceDN/>
        <w:bidi w:val="0"/>
        <w:adjustRightInd/>
        <w:snapToGrid/>
        <w:spacing w:line="500" w:lineRule="exact"/>
        <w:ind w:firstLine="600" w:firstLineChars="200"/>
        <w:outlineLvl w:val="9"/>
        <w:rPr>
          <w:rFonts w:hint="eastAsia" w:ascii="仿宋_GB2312" w:hAnsi="Yu Mincho Light" w:eastAsia="仿宋_GB2312" w:cs="Yu Mincho Light"/>
          <w:b/>
          <w:bCs/>
          <w:color w:val="FF0000"/>
          <w:sz w:val="28"/>
          <w:szCs w:val="28"/>
          <w:lang w:val="en-US" w:eastAsia="zh-CN"/>
        </w:rPr>
      </w:pPr>
      <w:r>
        <w:rPr>
          <w:rFonts w:hint="eastAsia" w:ascii="仿宋" w:hAnsi="仿宋" w:eastAsia="仿宋" w:cs="仿宋"/>
          <w:sz w:val="30"/>
          <w:szCs w:val="30"/>
        </w:rPr>
        <w:t>以上这些经费的投入有力地改善了学校办学条件，各类专项经费的投入有力促进了学校办学水平的提升。</w:t>
      </w:r>
    </w:p>
    <w:p w14:paraId="49F6835D">
      <w:pPr>
        <w:spacing w:line="580" w:lineRule="exact"/>
        <w:outlineLvl w:val="1"/>
        <w:rPr>
          <w:rFonts w:hint="eastAsia" w:ascii="仿宋_GB2312" w:hAnsi="Yu Mincho Light" w:eastAsia="仿宋_GB2312" w:cs="Yu Mincho Light"/>
          <w:b/>
          <w:bCs/>
          <w:sz w:val="32"/>
          <w:lang w:val="en-US" w:eastAsia="zh-CN"/>
        </w:rPr>
      </w:pPr>
      <w:bookmarkStart w:id="181" w:name="_Toc32246"/>
      <w:r>
        <w:rPr>
          <w:rFonts w:hint="eastAsia" w:ascii="仿宋_GB2312" w:hAnsi="Yu Mincho Light" w:eastAsia="仿宋_GB2312" w:cs="Yu Mincho Light"/>
          <w:b/>
          <w:bCs/>
          <w:sz w:val="32"/>
          <w:lang w:val="en-US" w:eastAsia="zh-CN"/>
        </w:rPr>
        <w:t>6.4设施保障</w:t>
      </w:r>
      <w:bookmarkEnd w:id="181"/>
    </w:p>
    <w:p w14:paraId="4383062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kern w:val="2"/>
          <w:sz w:val="30"/>
          <w:szCs w:val="30"/>
          <w:vertAlign w:val="baseline"/>
          <w:lang w:val="en-US" w:eastAsia="zh-CN" w:bidi="ar-SA"/>
        </w:rPr>
      </w:pPr>
      <w:r>
        <w:rPr>
          <w:rFonts w:hint="eastAsia" w:ascii="仿宋" w:hAnsi="仿宋" w:eastAsia="仿宋" w:cs="仿宋"/>
          <w:color w:val="000000"/>
          <w:kern w:val="2"/>
          <w:sz w:val="30"/>
          <w:szCs w:val="30"/>
          <w:lang w:val="en-US" w:eastAsia="zh-CN" w:bidi="ar-SA"/>
        </w:rPr>
        <w:t>上杭职业中专学校</w:t>
      </w:r>
      <w:r>
        <w:rPr>
          <w:rFonts w:hint="eastAsia" w:ascii="仿宋" w:hAnsi="仿宋" w:eastAsia="仿宋" w:cs="仿宋"/>
          <w:kern w:val="2"/>
          <w:sz w:val="30"/>
          <w:szCs w:val="30"/>
          <w:lang w:val="en-US" w:eastAsia="zh-CN" w:bidi="ar-SA"/>
        </w:rPr>
        <w:t>主校区校园占地面积79889m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，泮境实践基地校园占地面积25720m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，校园总占地面积104899m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。主校区校舍建筑面积52671m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，泮境综合教育实践基地校舍建筑面积5305m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，校舍总建筑面积57976m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。截止2024年底在校生数2897人，生均用地面积36.21m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vertAlign w:val="baseline"/>
          <w:lang w:val="en-US" w:eastAsia="zh-CN" w:bidi="ar-SA"/>
        </w:rPr>
        <w:t>，</w:t>
      </w:r>
      <w:r>
        <w:rPr>
          <w:rFonts w:hint="eastAsia" w:ascii="仿宋" w:hAnsi="仿宋" w:eastAsia="仿宋" w:cs="仿宋"/>
          <w:kern w:val="2"/>
          <w:sz w:val="30"/>
          <w:szCs w:val="30"/>
          <w:lang w:val="en-US" w:eastAsia="zh-CN" w:bidi="ar-SA"/>
        </w:rPr>
        <w:t>生均校舍建筑面积20.01m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vertAlign w:val="baseline"/>
          <w:lang w:val="en-US" w:eastAsia="zh-CN" w:bidi="ar-SA"/>
        </w:rPr>
        <w:t>；专任教师数为185人，生师比13.86:1；教学、实习仪器设备值3549.221万元，生均仪器设备值12251元/人;纸质图书62164册，电子图书38102册,图书总数为100266册,生均图书数34.61人/册，不低于国家标准生均30册。</w:t>
      </w:r>
    </w:p>
    <w:p w14:paraId="49F729E1">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kern w:val="2"/>
          <w:sz w:val="30"/>
          <w:szCs w:val="30"/>
          <w:vertAlign w:val="baseline"/>
          <w:lang w:val="en-US" w:eastAsia="zh-CN" w:bidi="ar-SA"/>
        </w:rPr>
      </w:pPr>
      <w:r>
        <w:rPr>
          <w:rFonts w:hint="eastAsia" w:ascii="仿宋" w:hAnsi="仿宋" w:eastAsia="仿宋" w:cs="仿宋"/>
          <w:color w:val="000000"/>
          <w:kern w:val="2"/>
          <w:sz w:val="30"/>
          <w:szCs w:val="30"/>
          <w:lang w:val="en-US" w:eastAsia="zh-CN" w:bidi="ar-SA"/>
        </w:rPr>
        <w:t>上杭职业中专学校</w:t>
      </w:r>
      <w:r>
        <w:rPr>
          <w:rFonts w:hint="eastAsia" w:ascii="仿宋" w:hAnsi="仿宋" w:eastAsia="仿宋" w:cs="仿宋"/>
          <w:kern w:val="2"/>
          <w:sz w:val="30"/>
          <w:szCs w:val="30"/>
          <w:lang w:val="en-US" w:eastAsia="zh-CN" w:bidi="ar-SA"/>
        </w:rPr>
        <w:t>主校区校园占地面积79889m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，泮境实践基地校园占地面积25720m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，校园总占地面积104899m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。主校区校舍建筑面积52671m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，泮境综合教育实践基地校舍建筑面积5305m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，校舍总建筑面积57976m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。2025年底在校生数2524人，生均用地面积41.56m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vertAlign w:val="baseline"/>
          <w:lang w:val="en-US" w:eastAsia="zh-CN" w:bidi="ar-SA"/>
        </w:rPr>
        <w:t>，</w:t>
      </w:r>
      <w:r>
        <w:rPr>
          <w:rFonts w:hint="eastAsia" w:ascii="仿宋" w:hAnsi="仿宋" w:eastAsia="仿宋" w:cs="仿宋"/>
          <w:kern w:val="2"/>
          <w:sz w:val="30"/>
          <w:szCs w:val="30"/>
          <w:lang w:val="en-US" w:eastAsia="zh-CN" w:bidi="ar-SA"/>
        </w:rPr>
        <w:t>生均校舍建筑面积20.01m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vertAlign w:val="baseline"/>
          <w:lang w:val="en-US" w:eastAsia="zh-CN" w:bidi="ar-SA"/>
        </w:rPr>
        <w:t>。专任教师数为179人，生师比14.1:1；教学、实习仪器设备值4845.97万元，生均仪器设备值19199元/人;纸质图书62164册，电子图书38102册,图书总数为100266册,生均图书数39.73人/册，不低于国家标准生均30册。</w:t>
      </w:r>
    </w:p>
    <w:p w14:paraId="44070643">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default" w:ascii="仿宋_GB2312" w:hAnsi="Yu Mincho Light" w:eastAsia="仿宋_GB2312" w:cs="Yu Mincho Light"/>
          <w:b/>
          <w:bCs/>
          <w:sz w:val="32"/>
          <w:lang w:val="en-US" w:eastAsia="zh-CN"/>
        </w:rPr>
      </w:pPr>
      <w:r>
        <w:rPr>
          <w:rFonts w:hint="eastAsia" w:ascii="仿宋" w:hAnsi="仿宋" w:eastAsia="仿宋" w:cs="仿宋"/>
          <w:b w:val="0"/>
          <w:bCs w:val="0"/>
          <w:color w:val="auto"/>
          <w:kern w:val="2"/>
          <w:sz w:val="30"/>
          <w:szCs w:val="30"/>
          <w:vertAlign w:val="baseline"/>
          <w:lang w:val="en-US" w:eastAsia="zh-CN" w:bidi="ar-SA"/>
        </w:rPr>
        <w:t>2024-2025年上杭职专办学条件均已达标。</w:t>
      </w:r>
    </w:p>
    <w:p w14:paraId="73470277">
      <w:pPr>
        <w:spacing w:line="580" w:lineRule="exact"/>
        <w:outlineLvl w:val="1"/>
        <w:rPr>
          <w:rFonts w:hint="eastAsia" w:ascii="仿宋_GB2312" w:hAnsi="Yu Mincho Light" w:eastAsia="仿宋_GB2312" w:cs="Yu Mincho Light"/>
          <w:b/>
          <w:bCs/>
          <w:color w:val="FF0000"/>
          <w:sz w:val="28"/>
          <w:szCs w:val="28"/>
          <w:lang w:eastAsia="zh-CN"/>
        </w:rPr>
      </w:pPr>
      <w:bookmarkStart w:id="182" w:name="_Toc24426"/>
      <w:r>
        <w:rPr>
          <w:rFonts w:hint="eastAsia" w:ascii="仿宋_GB2312" w:hAnsi="Yu Mincho Light" w:eastAsia="仿宋_GB2312" w:cs="Yu Mincho Light"/>
          <w:b/>
          <w:bCs/>
          <w:sz w:val="32"/>
          <w:lang w:val="en-US" w:eastAsia="zh-CN"/>
        </w:rPr>
        <w:t>6</w:t>
      </w:r>
      <w:r>
        <w:rPr>
          <w:rFonts w:hint="eastAsia" w:ascii="仿宋_GB2312" w:hAnsi="Yu Mincho Light" w:eastAsia="仿宋_GB2312" w:cs="Yu Mincho Light"/>
          <w:b/>
          <w:bCs/>
          <w:sz w:val="32"/>
        </w:rPr>
        <w:t>.</w:t>
      </w:r>
      <w:r>
        <w:rPr>
          <w:rFonts w:hint="eastAsia" w:ascii="仿宋_GB2312" w:hAnsi="Yu Mincho Light" w:eastAsia="仿宋_GB2312" w:cs="Yu Mincho Light"/>
          <w:b/>
          <w:bCs/>
          <w:sz w:val="32"/>
          <w:lang w:val="en-US" w:eastAsia="zh-CN"/>
        </w:rPr>
        <w:t xml:space="preserve">5 </w:t>
      </w:r>
      <w:r>
        <w:rPr>
          <w:rFonts w:hint="eastAsia" w:ascii="仿宋_GB2312" w:hAnsi="Yu Mincho Light" w:eastAsia="仿宋_GB2312" w:cs="Yu Mincho Light"/>
          <w:b/>
          <w:bCs/>
          <w:sz w:val="32"/>
        </w:rPr>
        <w:t>质量保障</w:t>
      </w:r>
      <w:bookmarkEnd w:id="182"/>
    </w:p>
    <w:p w14:paraId="276BFE38">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r>
        <w:rPr>
          <w:rFonts w:hint="eastAsia" w:ascii="仿宋" w:hAnsi="仿宋" w:eastAsia="仿宋" w:cs="仿宋"/>
          <w:sz w:val="30"/>
          <w:szCs w:val="30"/>
        </w:rPr>
        <w:t>教育教学质量是学校生存与发展的生命线。本学年，我校围绕“以德树人、以技创业”办学理念，统筹构建“常规执行-教研支撑-监控反馈”三位一体的教学质量保障体系，形成“制度规范-执行落地-反馈整改-持续优化”的闭环管理生态，为人才培养质量筑牢根基。</w:t>
      </w:r>
    </w:p>
    <w:p w14:paraId="1B5D419F">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r>
        <w:rPr>
          <w:rFonts w:hint="eastAsia" w:ascii="仿宋" w:hAnsi="仿宋" w:eastAsia="仿宋" w:cs="仿宋"/>
          <w:sz w:val="30"/>
          <w:szCs w:val="30"/>
        </w:rPr>
        <w:t>在常规管理与动态监控层面，学校优化教师课时与晚自修值守安排，多数教师周课时达14节，晚自修实现教师全覆盖，每日督查课堂教师到位情况，违规行为及时通报公示；推行“教师点名+学生干部记录”双向核对机制，未落实责任的教师纳入绩效量化考核。同时，建立“学校-教务处-专业系部”三级督导巡查机制，全年开展教学督查182次，每周公布结果，累计整改教学环节问题126项，整改完成率达98%。学生教学满意度问卷调查覆盖所有班级，教师综合评价一、二级占比70%，评价结果与绩效、职称挂钩后，教师主动改进课堂行为的比例提升55%；考务规范执行率100%，成绩评定误差率控制在0.3%以内，确保教学过程规范有序。</w:t>
      </w:r>
    </w:p>
    <w:p w14:paraId="38FB9EEE">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r>
        <w:rPr>
          <w:rFonts w:hint="eastAsia" w:ascii="仿宋" w:hAnsi="仿宋" w:eastAsia="仿宋" w:cs="仿宋"/>
          <w:sz w:val="30"/>
          <w:szCs w:val="30"/>
        </w:rPr>
        <w:t>教研支撑与师资建设是质量保障的核心动力。学校统一部署听评课计划，要求教师每学期至少开展1次公开课、参与15节听课，参与率100%；对16名新教师实施“结对指导计划”，通过双向听课、教案辅导，新教师教学常规达标率100%，81%在期末检查中获评二级以上。5个省级结题课题转化为15项教学改进措施，覆盖3个专业群，推动课程体系与产业需求对接度提升22%。此外，实施“青蓝工程”，组织教师参加省级培训、下企业实践，打造高素质“双师型”队伍；针对五年一贯制487名学生，精心选拔教师，修订实施性教学计划，加强过程考核与实训教学，推动中高职融合发展，为技术技能人才成长提供顺畅通道。</w:t>
      </w:r>
    </w:p>
    <w:p w14:paraId="26FF60D3">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r>
        <w:rPr>
          <w:rFonts w:hint="eastAsia" w:ascii="仿宋" w:hAnsi="仿宋" w:eastAsia="仿宋" w:cs="仿宋"/>
          <w:sz w:val="30"/>
          <w:szCs w:val="30"/>
        </w:rPr>
        <w:t>产教融合与技能培养成效显著。学校深度推进校企协同，与优质企业共建实习基地，引入行业标准开发课程，聘请企业专家参与教学，让学生在真实生产环境中提升职业技能。</w:t>
      </w:r>
      <w:r>
        <w:rPr>
          <w:rFonts w:hint="eastAsia" w:ascii="仿宋" w:hAnsi="仿宋" w:eastAsia="仿宋" w:cs="仿宋"/>
          <w:sz w:val="30"/>
          <w:szCs w:val="30"/>
          <w:lang w:eastAsia="zh-CN"/>
        </w:rPr>
        <w:t>学生</w:t>
      </w:r>
      <w:r>
        <w:rPr>
          <w:rFonts w:hint="eastAsia" w:ascii="仿宋" w:hAnsi="仿宋" w:eastAsia="仿宋" w:cs="仿宋"/>
          <w:sz w:val="30"/>
          <w:szCs w:val="30"/>
        </w:rPr>
        <w:t>技能大赛获省级一等奖3项6人次、市级一等奖8项17人次；学业水平考试2023级公共基础课合格率97.5%，专业基础课97.9%，本科上线率10%（远高于全省平均3%），专科上线率100%；4名学生获2025年中职国家奖学金。学生文化课合格率98.2%，专业技能合格率98%以上，体质测评合格率99.3%，全日制毕业率100%，人才培养质量得到全面提升。</w:t>
      </w:r>
    </w:p>
    <w:p w14:paraId="48B1C108">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ind w:firstLine="600" w:firstLineChars="200"/>
        <w:textAlignment w:val="auto"/>
        <w:outlineLvl w:val="9"/>
        <w:rPr>
          <w:rFonts w:hint="eastAsia"/>
          <w:sz w:val="30"/>
          <w:szCs w:val="30"/>
          <w:lang w:eastAsia="zh-CN"/>
        </w:rPr>
      </w:pPr>
      <w:r>
        <w:rPr>
          <w:rFonts w:hint="eastAsia" w:ascii="仿宋" w:hAnsi="仿宋" w:eastAsia="仿宋" w:cs="仿宋"/>
          <w:sz w:val="30"/>
          <w:szCs w:val="30"/>
        </w:rPr>
        <w:t>针对专业建设质量仍需提升、学生技能有待加强等问题，未来学校将进一步深化行业企业调研，动态调整专业设置，优化课程体系；开足实训课时，提高设备利用率，推动技能训练常态化；完善信息化教学平台，强化数据驱动的质量监控；以“双优”建设为契机，持续优化管理机制，提升人才培养质量，为职业教育高质量发展贡献力量。</w:t>
      </w:r>
    </w:p>
    <w:p w14:paraId="3E7D7401">
      <w:pPr>
        <w:numPr>
          <w:ilvl w:val="0"/>
          <w:numId w:val="2"/>
        </w:numPr>
        <w:spacing w:line="580" w:lineRule="exact"/>
        <w:outlineLvl w:val="0"/>
        <w:rPr>
          <w:rFonts w:hint="eastAsia" w:ascii="黑体" w:hAnsi="黑体" w:eastAsia="黑体" w:cs="宋体"/>
          <w:b/>
          <w:bCs/>
          <w:color w:val="000000"/>
          <w:kern w:val="0"/>
          <w:sz w:val="32"/>
          <w:szCs w:val="32"/>
          <w:shd w:val="clear" w:color="auto" w:fill="FFFFFF"/>
          <w:lang w:val="en-US" w:eastAsia="zh-CN" w:bidi="ar-SA"/>
        </w:rPr>
      </w:pPr>
      <w:bookmarkStart w:id="183" w:name="_Toc16010"/>
      <w:r>
        <w:rPr>
          <w:rFonts w:hint="eastAsia" w:ascii="黑体" w:hAnsi="黑体" w:eastAsia="黑体" w:cs="宋体"/>
          <w:b/>
          <w:bCs/>
          <w:color w:val="000000"/>
          <w:kern w:val="0"/>
          <w:sz w:val="32"/>
          <w:szCs w:val="32"/>
          <w:shd w:val="clear" w:color="auto" w:fill="FFFFFF"/>
          <w:lang w:val="en-US" w:eastAsia="zh-CN" w:bidi="ar-SA"/>
        </w:rPr>
        <w:t>挑战与展望</w:t>
      </w:r>
      <w:bookmarkEnd w:id="183"/>
    </w:p>
    <w:p w14:paraId="623AC844">
      <w:pPr>
        <w:numPr>
          <w:ilvl w:val="0"/>
          <w:numId w:val="0"/>
        </w:numPr>
        <w:spacing w:line="580" w:lineRule="exact"/>
        <w:outlineLvl w:val="1"/>
        <w:rPr>
          <w:rFonts w:hint="eastAsia" w:ascii="仿宋_GB2312" w:hAnsi="Yu Mincho Light" w:eastAsia="仿宋_GB2312" w:cs="Yu Mincho Light"/>
          <w:b/>
          <w:bCs/>
          <w:color w:val="FF0000"/>
          <w:sz w:val="28"/>
          <w:szCs w:val="28"/>
          <w:lang w:val="en-US" w:eastAsia="zh-CN"/>
        </w:rPr>
      </w:pPr>
      <w:bookmarkStart w:id="184" w:name="_Toc23139"/>
      <w:r>
        <w:rPr>
          <w:rFonts w:hint="eastAsia" w:ascii="黑体" w:hAnsi="黑体" w:eastAsia="黑体" w:cs="宋体"/>
          <w:b/>
          <w:bCs/>
          <w:color w:val="000000"/>
          <w:kern w:val="0"/>
          <w:sz w:val="32"/>
          <w:szCs w:val="32"/>
          <w:shd w:val="clear" w:color="auto" w:fill="FFFFFF"/>
          <w:lang w:val="en-US" w:eastAsia="zh-CN" w:bidi="ar-SA"/>
        </w:rPr>
        <w:t>7.1 面临挑战</w:t>
      </w:r>
      <w:bookmarkEnd w:id="184"/>
      <w:r>
        <w:rPr>
          <w:rFonts w:hint="eastAsia" w:ascii="黑体" w:hAnsi="黑体" w:eastAsia="黑体" w:cs="宋体"/>
          <w:b/>
          <w:bCs/>
          <w:color w:val="000000"/>
          <w:kern w:val="0"/>
          <w:sz w:val="32"/>
          <w:szCs w:val="32"/>
          <w:shd w:val="clear" w:color="auto" w:fill="FFFFFF"/>
          <w:lang w:val="en-US" w:eastAsia="zh-CN" w:bidi="ar-SA"/>
        </w:rPr>
        <w:t xml:space="preserve"> </w:t>
      </w:r>
    </w:p>
    <w:p w14:paraId="6BF8AA2F">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14:textFill>
            <w14:solidFill>
              <w14:schemeClr w14:val="tx1"/>
            </w14:solidFill>
          </w14:textFill>
        </w:rPr>
        <w:t>挑战1：</w:t>
      </w:r>
      <w:r>
        <w:rPr>
          <w:rFonts w:hint="eastAsia" w:ascii="仿宋" w:hAnsi="仿宋" w:eastAsia="仿宋" w:cs="Times New Roman"/>
          <w:color w:val="000000" w:themeColor="text1"/>
          <w:sz w:val="30"/>
          <w:szCs w:val="30"/>
          <w:lang w:val="en-US" w:eastAsia="zh-CN"/>
          <w14:textFill>
            <w14:solidFill>
              <w14:schemeClr w14:val="tx1"/>
            </w14:solidFill>
          </w14:textFill>
        </w:rPr>
        <w:t>技术技能人才发展空间狭窄。在全面推进中国式现代化新征程中，产业与经济结构加速调整升级，对培养更多数量、更高质量的技术技能型人才提出新要求。但职业教育类型发展渠道单一，很难实现职业转换，致使技术技能人才成长通道狭窄，上升空间受限。</w:t>
      </w:r>
    </w:p>
    <w:p w14:paraId="6BCC8939">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14:textFill>
            <w14:solidFill>
              <w14:schemeClr w14:val="tx1"/>
            </w14:solidFill>
          </w14:textFill>
        </w:rPr>
      </w:pPr>
      <w:r>
        <w:rPr>
          <w:rFonts w:hint="eastAsia" w:ascii="仿宋" w:hAnsi="仿宋" w:eastAsia="仿宋" w:cs="Times New Roman"/>
          <w:color w:val="000000" w:themeColor="text1"/>
          <w:sz w:val="30"/>
          <w:szCs w:val="30"/>
          <w14:textFill>
            <w14:solidFill>
              <w14:schemeClr w14:val="tx1"/>
            </w14:solidFill>
          </w14:textFill>
        </w:rPr>
        <w:t>挑战2：</w:t>
      </w:r>
      <w:r>
        <w:rPr>
          <w:rFonts w:hint="eastAsia" w:ascii="仿宋" w:hAnsi="仿宋" w:eastAsia="仿宋" w:cs="Times New Roman"/>
          <w:color w:val="000000" w:themeColor="text1"/>
          <w:sz w:val="30"/>
          <w:szCs w:val="30"/>
          <w:lang w:val="en-US" w:eastAsia="zh-CN"/>
          <w14:textFill>
            <w14:solidFill>
              <w14:schemeClr w14:val="tx1"/>
            </w14:solidFill>
          </w14:textFill>
        </w:rPr>
        <w:t>师资水平有待提升。</w:t>
      </w:r>
      <w:r>
        <w:rPr>
          <w:rFonts w:hint="eastAsia" w:ascii="仿宋" w:hAnsi="仿宋" w:eastAsia="仿宋" w:cs="Times New Roman"/>
          <w:color w:val="000000" w:themeColor="text1"/>
          <w:sz w:val="30"/>
          <w:szCs w:val="30"/>
          <w14:textFill>
            <w14:solidFill>
              <w14:schemeClr w14:val="tx1"/>
            </w14:solidFill>
          </w14:textFill>
        </w:rPr>
        <w:t>面对各行各业数字化转型，教师在教育教学能力上存在着不适应。一是教师专业能力不适应产业升级的需要。教师作为企业生产管理一线人才的培养者，不仅需要具备一定的专业理论知识和技能，还要具备较强的学习能力。二是教师教学能力不适应教学形态的变化，部分教师应用数字化学习资源还停留在作为辅助手段的层面。三是学生多途径获取知识的现状给教师自身能力带来挑战。</w:t>
      </w:r>
    </w:p>
    <w:p w14:paraId="64FEA199">
      <w:pPr>
        <w:numPr>
          <w:ilvl w:val="0"/>
          <w:numId w:val="0"/>
        </w:numPr>
        <w:spacing w:line="580" w:lineRule="exact"/>
        <w:outlineLvl w:val="1"/>
        <w:rPr>
          <w:rFonts w:hint="eastAsia" w:ascii="黑体" w:hAnsi="黑体" w:eastAsia="黑体" w:cs="宋体"/>
          <w:b/>
          <w:bCs/>
          <w:color w:val="000000"/>
          <w:kern w:val="0"/>
          <w:sz w:val="32"/>
          <w:szCs w:val="32"/>
          <w:shd w:val="clear" w:color="auto" w:fill="FFFFFF"/>
          <w:lang w:val="en-US" w:eastAsia="zh-CN" w:bidi="ar-SA"/>
        </w:rPr>
      </w:pPr>
      <w:bookmarkStart w:id="185" w:name="_Toc20509"/>
      <w:r>
        <w:rPr>
          <w:rFonts w:hint="eastAsia" w:ascii="黑体" w:hAnsi="黑体" w:eastAsia="黑体" w:cs="宋体"/>
          <w:b/>
          <w:bCs/>
          <w:color w:val="000000"/>
          <w:kern w:val="0"/>
          <w:sz w:val="32"/>
          <w:szCs w:val="32"/>
          <w:shd w:val="clear" w:color="auto" w:fill="FFFFFF"/>
          <w:lang w:val="en-US" w:eastAsia="zh-CN" w:bidi="ar-SA"/>
        </w:rPr>
        <w:t>7.2 发展展望</w:t>
      </w:r>
    </w:p>
    <w:p w14:paraId="25721E5A">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lang w:val="en-US" w:eastAsia="zh-CN"/>
          <w14:textFill>
            <w14:solidFill>
              <w14:schemeClr w14:val="tx1"/>
            </w14:solidFill>
          </w14:textFill>
        </w:rPr>
        <w:t>学校将持续深化办学内涵，面向未来重点推进以下战略方向：</w:t>
      </w:r>
    </w:p>
    <w:p w14:paraId="6CCAE2B4">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lang w:val="en-US" w:eastAsia="zh-CN"/>
          <w14:textFill>
            <w14:solidFill>
              <w14:schemeClr w14:val="tx1"/>
            </w14:solidFill>
          </w14:textFill>
        </w:rPr>
        <w:t>1. 深化产教融合：以产业需求为导向，推动企业标准与教学过程深度融合，构建协同育人长效机制。</w:t>
      </w:r>
    </w:p>
    <w:p w14:paraId="21FC05B5">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lang w:val="en-US" w:eastAsia="zh-CN"/>
          <w14:textFill>
            <w14:solidFill>
              <w14:schemeClr w14:val="tx1"/>
            </w14:solidFill>
          </w14:textFill>
        </w:rPr>
        <w:t>2. 拓展社会培训：充分发挥县职教中心功能，面向在校生与社会人员开展多层次、多领域的职业技能培训，服务区域人力资源提升。</w:t>
      </w:r>
    </w:p>
    <w:p w14:paraId="2D174273">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lang w:val="en-US" w:eastAsia="zh-CN"/>
          <w14:textFill>
            <w14:solidFill>
              <w14:schemeClr w14:val="tx1"/>
            </w14:solidFill>
          </w14:textFill>
        </w:rPr>
        <w:t>3. 对接区域发展：紧密围绕地方产业布局与战略规划，调整优化专业结构，为重点行业培养适应新质生产力要求的高素质技能人才。</w:t>
      </w:r>
    </w:p>
    <w:p w14:paraId="236FA019">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lang w:val="en-US" w:eastAsia="zh-CN"/>
          <w14:textFill>
            <w14:solidFill>
              <w14:schemeClr w14:val="tx1"/>
            </w14:solidFill>
          </w14:textFill>
        </w:rPr>
      </w:pPr>
      <w:r>
        <w:rPr>
          <w:rFonts w:hint="eastAsia" w:ascii="仿宋" w:hAnsi="仿宋" w:eastAsia="仿宋" w:cs="Times New Roman"/>
          <w:color w:val="000000" w:themeColor="text1"/>
          <w:sz w:val="30"/>
          <w:szCs w:val="30"/>
          <w:lang w:val="en-US" w:eastAsia="zh-CN"/>
          <w14:textFill>
            <w14:solidFill>
              <w14:schemeClr w14:val="tx1"/>
            </w14:solidFill>
          </w14:textFill>
        </w:rPr>
        <w:t>学校将坚持依托本地产业基础，深化政校企协同，积极融入区域发展格局，努力建设成为支撑县域经济社会高质量发展的技能人才培养高地</w:t>
      </w:r>
      <w:bookmarkEnd w:id="185"/>
      <w:r>
        <w:rPr>
          <w:rFonts w:hint="eastAsia" w:ascii="仿宋" w:hAnsi="仿宋" w:eastAsia="仿宋" w:cs="Times New Roman"/>
          <w:color w:val="000000" w:themeColor="text1"/>
          <w:sz w:val="30"/>
          <w:szCs w:val="30"/>
          <w:lang w:val="en-US" w:eastAsia="zh-CN"/>
          <w14:textFill>
            <w14:solidFill>
              <w14:schemeClr w14:val="tx1"/>
            </w14:solidFill>
          </w14:textFill>
        </w:rPr>
        <w:t>。</w:t>
      </w:r>
    </w:p>
    <w:p w14:paraId="0CD2C83C">
      <w:pPr>
        <w:tabs>
          <w:tab w:val="left" w:pos="958"/>
          <w:tab w:val="left" w:pos="1078"/>
        </w:tabs>
        <w:spacing w:line="560" w:lineRule="exact"/>
        <w:ind w:firstLine="600" w:firstLineChars="200"/>
        <w:outlineLvl w:val="9"/>
        <w:rPr>
          <w:rFonts w:hint="eastAsia" w:ascii="仿宋" w:hAnsi="仿宋" w:eastAsia="仿宋" w:cs="Times New Roman"/>
          <w:color w:val="000000" w:themeColor="text1"/>
          <w:sz w:val="30"/>
          <w:szCs w:val="30"/>
          <w14:textFill>
            <w14:solidFill>
              <w14:schemeClr w14:val="tx1"/>
            </w14:solidFill>
          </w14:textFill>
        </w:rPr>
      </w:pPr>
    </w:p>
    <w:p w14:paraId="61F42078">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p>
    <w:p w14:paraId="1316F7DB">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p>
    <w:p w14:paraId="4777C95D">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pPr>
    </w:p>
    <w:p w14:paraId="365BFFF6">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textAlignment w:val="auto"/>
        <w:outlineLvl w:val="9"/>
        <w:rPr>
          <w:rFonts w:hint="eastAsia" w:ascii="仿宋" w:hAnsi="仿宋" w:eastAsia="仿宋" w:cs="仿宋"/>
          <w:sz w:val="30"/>
          <w:szCs w:val="30"/>
        </w:rPr>
      </w:pPr>
    </w:p>
    <w:p w14:paraId="26B36FBE">
      <w:pPr>
        <w:keepNext w:val="0"/>
        <w:keepLines w:val="0"/>
        <w:pageBreakBefore w:val="0"/>
        <w:widowControl w:val="0"/>
        <w:tabs>
          <w:tab w:val="left" w:pos="958"/>
          <w:tab w:val="left" w:pos="1078"/>
        </w:tabs>
        <w:kinsoku/>
        <w:wordWrap/>
        <w:overflowPunct/>
        <w:topLinePunct w:val="0"/>
        <w:autoSpaceDE/>
        <w:autoSpaceDN/>
        <w:bidi w:val="0"/>
        <w:adjustRightInd/>
        <w:snapToGrid/>
        <w:spacing w:line="560" w:lineRule="exact"/>
        <w:ind w:firstLine="600" w:firstLineChars="200"/>
        <w:textAlignment w:val="auto"/>
        <w:outlineLvl w:val="9"/>
        <w:rPr>
          <w:rFonts w:hint="eastAsia" w:ascii="仿宋" w:hAnsi="仿宋" w:eastAsia="仿宋" w:cs="仿宋"/>
          <w:sz w:val="30"/>
          <w:szCs w:val="30"/>
        </w:rPr>
        <w:sectPr>
          <w:pgSz w:w="11906" w:h="16838"/>
          <w:pgMar w:top="1100" w:right="1800" w:bottom="1157" w:left="1800" w:header="851" w:footer="992" w:gutter="0"/>
          <w:cols w:space="425" w:num="1"/>
          <w:docGrid w:type="lines" w:linePitch="312" w:charSpace="0"/>
        </w:sectPr>
      </w:pPr>
    </w:p>
    <w:p w14:paraId="79A49786">
      <w:pPr>
        <w:tabs>
          <w:tab w:val="left" w:pos="958"/>
          <w:tab w:val="left" w:pos="1078"/>
        </w:tabs>
        <w:spacing w:line="580" w:lineRule="exact"/>
        <w:ind w:firstLine="643" w:firstLineChars="200"/>
        <w:outlineLvl w:val="0"/>
        <w:rPr>
          <w:rFonts w:hint="eastAsia" w:eastAsia="仿宋_GB2312"/>
          <w:b/>
          <w:bCs/>
          <w:sz w:val="32"/>
          <w:szCs w:val="32"/>
        </w:rPr>
      </w:pPr>
      <w:bookmarkStart w:id="186" w:name="_Toc29772"/>
      <w:r>
        <w:rPr>
          <w:rFonts w:hint="eastAsia" w:eastAsia="仿宋_GB2312"/>
          <w:b/>
          <w:bCs/>
          <w:sz w:val="32"/>
          <w:szCs w:val="32"/>
        </w:rPr>
        <w:t>附表</w:t>
      </w:r>
      <w:bookmarkEnd w:id="186"/>
    </w:p>
    <w:p w14:paraId="33F385D4">
      <w:pPr>
        <w:tabs>
          <w:tab w:val="left" w:pos="958"/>
          <w:tab w:val="left" w:pos="1078"/>
        </w:tabs>
        <w:spacing w:line="580" w:lineRule="exact"/>
        <w:ind w:firstLine="643" w:firstLineChars="200"/>
        <w:jc w:val="center"/>
        <w:outlineLvl w:val="9"/>
        <w:rPr>
          <w:rFonts w:hint="eastAsia" w:eastAsia="仿宋_GB2312"/>
          <w:b/>
          <w:bCs/>
          <w:sz w:val="32"/>
          <w:szCs w:val="32"/>
        </w:rPr>
      </w:pPr>
    </w:p>
    <w:tbl>
      <w:tblPr>
        <w:tblStyle w:val="19"/>
        <w:tblW w:w="73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3504"/>
        <w:gridCol w:w="972"/>
        <w:gridCol w:w="972"/>
        <w:gridCol w:w="972"/>
      </w:tblGrid>
      <w:tr w14:paraId="7F3E2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7392" w:type="dxa"/>
            <w:gridSpan w:val="5"/>
            <w:tcBorders>
              <w:top w:val="nil"/>
              <w:left w:val="nil"/>
              <w:bottom w:val="nil"/>
              <w:right w:val="nil"/>
            </w:tcBorders>
            <w:shd w:val="clear" w:color="auto" w:fill="auto"/>
            <w:noWrap/>
            <w:vAlign w:val="center"/>
          </w:tcPr>
          <w:p w14:paraId="0B79E57D">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87" w:name="_Toc5145"/>
            <w:r>
              <w:rPr>
                <w:rFonts w:hint="eastAsia" w:ascii="宋体" w:hAnsi="宋体" w:eastAsia="宋体" w:cs="宋体"/>
                <w:b/>
                <w:bCs/>
                <w:i w:val="0"/>
                <w:iCs w:val="0"/>
                <w:color w:val="000000"/>
                <w:kern w:val="0"/>
                <w:sz w:val="36"/>
                <w:szCs w:val="36"/>
                <w:u w:val="none"/>
                <w:lang w:val="en-US" w:eastAsia="zh-CN" w:bidi="ar"/>
              </w:rPr>
              <w:t>表1  人才培养质量计分卡</w:t>
            </w:r>
            <w:bookmarkEnd w:id="187"/>
          </w:p>
        </w:tc>
      </w:tr>
      <w:tr w14:paraId="7264A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033E9193">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504" w:type="dxa"/>
            <w:tcBorders>
              <w:top w:val="single" w:color="000000" w:sz="8" w:space="0"/>
              <w:left w:val="single" w:color="000000" w:sz="4" w:space="0"/>
              <w:bottom w:val="single" w:color="000000" w:sz="8" w:space="0"/>
              <w:right w:val="single" w:color="000000" w:sz="4" w:space="0"/>
            </w:tcBorders>
            <w:shd w:val="clear" w:color="auto" w:fill="auto"/>
            <w:vAlign w:val="center"/>
          </w:tcPr>
          <w:p w14:paraId="0BAA6E9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1FAFDC3A">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62ED311C">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72" w:type="dxa"/>
            <w:tcBorders>
              <w:top w:val="single" w:color="000000" w:sz="8" w:space="0"/>
              <w:left w:val="single" w:color="000000" w:sz="4" w:space="0"/>
              <w:bottom w:val="single" w:color="000000" w:sz="8" w:space="0"/>
              <w:right w:val="single" w:color="000000" w:sz="8" w:space="0"/>
            </w:tcBorders>
            <w:shd w:val="clear" w:color="auto" w:fill="auto"/>
            <w:vAlign w:val="center"/>
          </w:tcPr>
          <w:p w14:paraId="6211817D">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r>
      <w:tr w14:paraId="73E06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8" w:space="0"/>
              <w:left w:val="single" w:color="000000" w:sz="8" w:space="0"/>
              <w:bottom w:val="single" w:color="000000" w:sz="4" w:space="0"/>
              <w:right w:val="single" w:color="000000" w:sz="4" w:space="0"/>
            </w:tcBorders>
            <w:shd w:val="clear" w:color="auto" w:fill="auto"/>
            <w:vAlign w:val="center"/>
          </w:tcPr>
          <w:p w14:paraId="037520D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50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DAA9234">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毕业生人数*</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124262F">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FC3B86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995</w:t>
            </w:r>
          </w:p>
        </w:tc>
        <w:tc>
          <w:tcPr>
            <w:tcW w:w="972"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57870E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1083</w:t>
            </w:r>
          </w:p>
        </w:tc>
      </w:tr>
      <w:tr w14:paraId="5B01B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1634508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7CF5C">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毕业生去向落实人数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64E4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A07B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995</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1EA9B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1083</w:t>
            </w:r>
          </w:p>
        </w:tc>
      </w:tr>
      <w:tr w14:paraId="2953B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0AAEC327">
            <w:pPr>
              <w:jc w:val="center"/>
              <w:outlineLvl w:val="9"/>
              <w:rPr>
                <w:rFonts w:hint="eastAsia" w:ascii="宋体" w:hAnsi="宋体" w:eastAsia="宋体" w:cs="宋体"/>
                <w:i w:val="0"/>
                <w:iCs w:val="0"/>
                <w:color w:val="000000"/>
                <w:sz w:val="24"/>
                <w:szCs w:val="24"/>
                <w:u w:val="none"/>
              </w:rPr>
            </w:pP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D84D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其中：升学人数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ED8C">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0008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961</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24C34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517</w:t>
            </w:r>
          </w:p>
        </w:tc>
      </w:tr>
      <w:tr w14:paraId="41E3E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D6FA1C4">
            <w:pPr>
              <w:jc w:val="center"/>
              <w:outlineLvl w:val="9"/>
              <w:rPr>
                <w:rFonts w:hint="eastAsia" w:ascii="宋体" w:hAnsi="宋体" w:eastAsia="宋体" w:cs="宋体"/>
                <w:i w:val="0"/>
                <w:iCs w:val="0"/>
                <w:color w:val="000000"/>
                <w:sz w:val="24"/>
                <w:szCs w:val="24"/>
                <w:u w:val="none"/>
              </w:rPr>
            </w:pP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B421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升入本科人数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5DE5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68DE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CD13A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79</w:t>
            </w:r>
          </w:p>
        </w:tc>
      </w:tr>
      <w:tr w14:paraId="31DB5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5C8AB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5A29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毕业生本省去向落实率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E88B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28BC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99.89</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FEC478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98.85</w:t>
            </w:r>
          </w:p>
        </w:tc>
      </w:tr>
      <w:tr w14:paraId="2AD34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8C4AF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EC9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月收入</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102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CE70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3280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33713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3480</w:t>
            </w:r>
          </w:p>
        </w:tc>
      </w:tr>
      <w:tr w14:paraId="40EA3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424E1F1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6808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毕业生面向三次产业就业人数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B987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59DF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147</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4EEFB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w:t>
            </w:r>
          </w:p>
        </w:tc>
      </w:tr>
      <w:tr w14:paraId="1E935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82D4412">
            <w:pPr>
              <w:jc w:val="center"/>
              <w:outlineLvl w:val="9"/>
              <w:rPr>
                <w:rFonts w:hint="eastAsia" w:ascii="宋体" w:hAnsi="宋体" w:eastAsia="宋体" w:cs="宋体"/>
                <w:i w:val="0"/>
                <w:iCs w:val="0"/>
                <w:color w:val="000000"/>
                <w:sz w:val="24"/>
                <w:szCs w:val="24"/>
                <w:u w:val="none"/>
              </w:rPr>
            </w:pP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D7ED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其中：面向第一产业就业人数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34AB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018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FFF07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93A0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B30550B">
            <w:pPr>
              <w:jc w:val="center"/>
              <w:outlineLvl w:val="9"/>
              <w:rPr>
                <w:rFonts w:hint="eastAsia" w:ascii="宋体" w:hAnsi="宋体" w:eastAsia="宋体" w:cs="宋体"/>
                <w:i w:val="0"/>
                <w:iCs w:val="0"/>
                <w:color w:val="000000"/>
                <w:sz w:val="24"/>
                <w:szCs w:val="24"/>
                <w:u w:val="none"/>
              </w:rPr>
            </w:pP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713E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面向第二产业就业人数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6782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6BF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FE032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r>
      <w:tr w14:paraId="4872F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4441F34">
            <w:pPr>
              <w:jc w:val="center"/>
              <w:outlineLvl w:val="9"/>
              <w:rPr>
                <w:rFonts w:hint="eastAsia" w:ascii="宋体" w:hAnsi="宋体" w:eastAsia="宋体" w:cs="宋体"/>
                <w:i w:val="0"/>
                <w:iCs w:val="0"/>
                <w:color w:val="000000"/>
                <w:sz w:val="24"/>
                <w:szCs w:val="24"/>
                <w:u w:val="none"/>
              </w:rPr>
            </w:pP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428A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面向第三产业就业人数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2D931">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5250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2AF10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156</w:t>
            </w:r>
          </w:p>
        </w:tc>
      </w:tr>
      <w:tr w14:paraId="334B9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B615C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8198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自主创业率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62B6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3F0B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19D02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363D1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57493D2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504"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1BCC2B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毕业三年晋升比例</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772969B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E44231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972"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18252E8">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bl>
    <w:p w14:paraId="28D9DCD9">
      <w:pPr>
        <w:spacing w:line="580" w:lineRule="exact"/>
        <w:ind w:firstLine="960" w:firstLineChars="300"/>
        <w:outlineLvl w:val="9"/>
        <w:rPr>
          <w:rFonts w:hint="eastAsia" w:ascii="仿宋_GB2312" w:hAnsi="Yu Mincho Light" w:eastAsia="仿宋_GB2312" w:cs="Yu Mincho Light"/>
          <w:sz w:val="32"/>
        </w:rPr>
      </w:pPr>
    </w:p>
    <w:p w14:paraId="3758F6BD">
      <w:pPr>
        <w:spacing w:line="580" w:lineRule="exact"/>
        <w:ind w:firstLine="960" w:firstLineChars="300"/>
        <w:outlineLvl w:val="9"/>
        <w:rPr>
          <w:rFonts w:hint="eastAsia" w:ascii="仿宋_GB2312" w:hAnsi="Yu Mincho Light" w:eastAsia="仿宋_GB2312" w:cs="Yu Mincho Light"/>
          <w:sz w:val="32"/>
        </w:rPr>
      </w:pPr>
    </w:p>
    <w:p w14:paraId="7C126DAA">
      <w:pPr>
        <w:spacing w:line="580" w:lineRule="exact"/>
        <w:ind w:firstLine="960" w:firstLineChars="300"/>
        <w:outlineLvl w:val="9"/>
        <w:rPr>
          <w:rFonts w:hint="eastAsia" w:ascii="仿宋_GB2312" w:hAnsi="Yu Mincho Light" w:eastAsia="仿宋_GB2312" w:cs="Yu Mincho Light"/>
          <w:sz w:val="32"/>
        </w:rPr>
        <w:sectPr>
          <w:pgSz w:w="11906" w:h="16838"/>
          <w:pgMar w:top="1100" w:right="1800" w:bottom="1157" w:left="1800" w:header="851" w:footer="992" w:gutter="0"/>
          <w:cols w:space="425" w:num="1"/>
          <w:docGrid w:type="lines" w:linePitch="312" w:charSpace="0"/>
        </w:sectPr>
      </w:pPr>
    </w:p>
    <w:p w14:paraId="327A5599">
      <w:pPr>
        <w:spacing w:line="580" w:lineRule="exact"/>
        <w:ind w:firstLine="960" w:firstLineChars="300"/>
        <w:outlineLvl w:val="9"/>
        <w:rPr>
          <w:rFonts w:hint="eastAsia" w:ascii="仿宋_GB2312" w:hAnsi="Yu Mincho Light" w:eastAsia="仿宋_GB2312" w:cs="Yu Mincho Light"/>
          <w:sz w:val="32"/>
        </w:rPr>
      </w:pPr>
    </w:p>
    <w:tbl>
      <w:tblPr>
        <w:tblStyle w:val="19"/>
        <w:tblW w:w="915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2"/>
        <w:gridCol w:w="3192"/>
        <w:gridCol w:w="972"/>
        <w:gridCol w:w="972"/>
        <w:gridCol w:w="972"/>
        <w:gridCol w:w="1152"/>
        <w:gridCol w:w="1164"/>
      </w:tblGrid>
      <w:tr w14:paraId="32700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9156" w:type="dxa"/>
            <w:gridSpan w:val="7"/>
            <w:tcBorders>
              <w:top w:val="nil"/>
              <w:left w:val="nil"/>
              <w:bottom w:val="nil"/>
              <w:right w:val="nil"/>
            </w:tcBorders>
            <w:shd w:val="clear" w:color="auto" w:fill="auto"/>
            <w:noWrap/>
            <w:vAlign w:val="center"/>
          </w:tcPr>
          <w:p w14:paraId="4384B8E5">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88" w:name="_Toc31316"/>
            <w:r>
              <w:rPr>
                <w:rFonts w:hint="eastAsia" w:ascii="宋体" w:hAnsi="宋体" w:eastAsia="宋体" w:cs="宋体"/>
                <w:b/>
                <w:bCs/>
                <w:i w:val="0"/>
                <w:iCs w:val="0"/>
                <w:color w:val="000000"/>
                <w:kern w:val="0"/>
                <w:sz w:val="36"/>
                <w:szCs w:val="36"/>
                <w:u w:val="none"/>
                <w:lang w:val="en-US" w:eastAsia="zh-CN" w:bidi="ar"/>
              </w:rPr>
              <w:t>表2  满意度调查表</w:t>
            </w:r>
            <w:bookmarkEnd w:id="188"/>
          </w:p>
        </w:tc>
      </w:tr>
      <w:tr w14:paraId="18FE6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7E6C43DD">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19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25D16E0C">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57085FFF">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63D1CE5F">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676D68F3">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c>
          <w:tcPr>
            <w:tcW w:w="115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78E796C8">
            <w:pPr>
              <w:keepNext w:val="0"/>
              <w:keepLines w:val="0"/>
              <w:widowControl/>
              <w:suppressLineNumbers w:val="0"/>
              <w:jc w:val="center"/>
              <w:textAlignment w:val="center"/>
              <w:outlineLvl w:val="9"/>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调查</w:t>
            </w:r>
          </w:p>
          <w:p w14:paraId="6D4A9F97">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人数</w:t>
            </w:r>
          </w:p>
        </w:tc>
        <w:tc>
          <w:tcPr>
            <w:tcW w:w="1164" w:type="dxa"/>
            <w:tcBorders>
              <w:top w:val="single" w:color="000000" w:sz="8" w:space="0"/>
              <w:left w:val="single" w:color="000000" w:sz="4" w:space="0"/>
              <w:bottom w:val="single" w:color="000000" w:sz="8" w:space="0"/>
              <w:right w:val="single" w:color="000000" w:sz="8" w:space="0"/>
            </w:tcBorders>
            <w:shd w:val="clear" w:color="auto" w:fill="auto"/>
            <w:vAlign w:val="center"/>
          </w:tcPr>
          <w:p w14:paraId="5C137A2C">
            <w:pPr>
              <w:keepNext w:val="0"/>
              <w:keepLines w:val="0"/>
              <w:widowControl/>
              <w:suppressLineNumbers w:val="0"/>
              <w:jc w:val="center"/>
              <w:textAlignment w:val="center"/>
              <w:outlineLvl w:val="9"/>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调查</w:t>
            </w:r>
          </w:p>
          <w:p w14:paraId="5A62C7BE">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方式</w:t>
            </w:r>
          </w:p>
        </w:tc>
      </w:tr>
      <w:tr w14:paraId="74E44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03E06A5">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19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CAB4154">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在校生满意度*</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1033AEF">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EF55D9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94.3</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18AD0CD">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9EE5A09">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8" w:space="0"/>
              <w:left w:val="single" w:color="000000" w:sz="4" w:space="0"/>
              <w:bottom w:val="single" w:color="000000" w:sz="4" w:space="0"/>
              <w:right w:val="single" w:color="000000" w:sz="8" w:space="0"/>
            </w:tcBorders>
            <w:shd w:val="clear" w:color="auto" w:fill="auto"/>
            <w:vAlign w:val="center"/>
          </w:tcPr>
          <w:p w14:paraId="6AA5B80D">
            <w:pPr>
              <w:jc w:val="center"/>
              <w:outlineLvl w:val="9"/>
              <w:rPr>
                <w:rFonts w:hint="eastAsia" w:ascii="宋体" w:hAnsi="宋体" w:eastAsia="宋体" w:cs="宋体"/>
                <w:i w:val="0"/>
                <w:iCs w:val="0"/>
                <w:color w:val="000000"/>
                <w:sz w:val="24"/>
                <w:szCs w:val="24"/>
                <w:u w:val="none"/>
              </w:rPr>
            </w:pPr>
          </w:p>
        </w:tc>
      </w:tr>
      <w:tr w14:paraId="0BACE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C37BA86">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0A9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其中：课堂育人满意度*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4FD3">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3BB1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B0F72">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8CDBD">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D553C8">
            <w:pPr>
              <w:jc w:val="center"/>
              <w:outlineLvl w:val="9"/>
              <w:rPr>
                <w:rFonts w:hint="eastAsia" w:ascii="宋体" w:hAnsi="宋体" w:eastAsia="宋体" w:cs="宋体"/>
                <w:i w:val="0"/>
                <w:iCs w:val="0"/>
                <w:color w:val="000000"/>
                <w:sz w:val="24"/>
                <w:szCs w:val="24"/>
                <w:u w:val="none"/>
              </w:rPr>
            </w:pPr>
          </w:p>
        </w:tc>
      </w:tr>
      <w:tr w14:paraId="23CD3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2010EBE">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70D0F">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课外育人满意度*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FBDFA">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0DD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9B45E">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D129C">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B554B2">
            <w:pPr>
              <w:jc w:val="center"/>
              <w:outlineLvl w:val="9"/>
              <w:rPr>
                <w:rFonts w:hint="eastAsia" w:ascii="宋体" w:hAnsi="宋体" w:eastAsia="宋体" w:cs="宋体"/>
                <w:i w:val="0"/>
                <w:iCs w:val="0"/>
                <w:color w:val="000000"/>
                <w:sz w:val="24"/>
                <w:szCs w:val="24"/>
                <w:u w:val="none"/>
              </w:rPr>
            </w:pPr>
          </w:p>
        </w:tc>
      </w:tr>
      <w:tr w14:paraId="74473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EE20529">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6B32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思想政治课教学满意度*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F0728">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771B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6C59C">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4404">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502476">
            <w:pPr>
              <w:jc w:val="center"/>
              <w:outlineLvl w:val="9"/>
              <w:rPr>
                <w:rFonts w:hint="eastAsia" w:ascii="宋体" w:hAnsi="宋体" w:eastAsia="宋体" w:cs="宋体"/>
                <w:i w:val="0"/>
                <w:iCs w:val="0"/>
                <w:color w:val="000000"/>
                <w:sz w:val="24"/>
                <w:szCs w:val="24"/>
                <w:u w:val="none"/>
              </w:rPr>
            </w:pPr>
          </w:p>
        </w:tc>
      </w:tr>
      <w:tr w14:paraId="05939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2B72D58">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B4A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公共基础课（不含思想政治课）教学满意度*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EA819">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7639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9BD77">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B9362">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84A966">
            <w:pPr>
              <w:jc w:val="center"/>
              <w:outlineLvl w:val="9"/>
              <w:rPr>
                <w:rFonts w:hint="eastAsia" w:ascii="宋体" w:hAnsi="宋体" w:eastAsia="宋体" w:cs="宋体"/>
                <w:i w:val="0"/>
                <w:iCs w:val="0"/>
                <w:color w:val="000000"/>
                <w:sz w:val="24"/>
                <w:szCs w:val="24"/>
                <w:u w:val="none"/>
              </w:rPr>
            </w:pPr>
          </w:p>
        </w:tc>
      </w:tr>
      <w:tr w14:paraId="75293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740F6E7">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6EA6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专业课教学满意度*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C45AA">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F5D3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F951E">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30594">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A008F44">
            <w:pPr>
              <w:jc w:val="center"/>
              <w:outlineLvl w:val="9"/>
              <w:rPr>
                <w:rFonts w:hint="eastAsia" w:ascii="宋体" w:hAnsi="宋体" w:eastAsia="宋体" w:cs="宋体"/>
                <w:i w:val="0"/>
                <w:iCs w:val="0"/>
                <w:color w:val="000000"/>
                <w:sz w:val="24"/>
                <w:szCs w:val="24"/>
                <w:u w:val="none"/>
              </w:rPr>
            </w:pPr>
          </w:p>
        </w:tc>
      </w:tr>
      <w:tr w14:paraId="594D0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25E5F9D2">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F0C6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6D74E">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6D6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DBC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E4E9">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127DC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问卷</w:t>
            </w:r>
          </w:p>
        </w:tc>
      </w:tr>
      <w:tr w14:paraId="27429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70A88B7">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1BC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其中：应届毕业生满意度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6885E">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17C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DD57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E482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CF343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问卷</w:t>
            </w:r>
          </w:p>
        </w:tc>
      </w:tr>
      <w:tr w14:paraId="630C0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BD569D5">
            <w:pPr>
              <w:jc w:val="center"/>
              <w:outlineLvl w:val="9"/>
              <w:rPr>
                <w:rFonts w:hint="eastAsia" w:ascii="宋体" w:hAnsi="宋体" w:eastAsia="宋体" w:cs="宋体"/>
                <w:i w:val="0"/>
                <w:iCs w:val="0"/>
                <w:color w:val="000000"/>
                <w:sz w:val="22"/>
                <w:szCs w:val="22"/>
                <w:u w:val="none"/>
              </w:rPr>
            </w:pP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C1F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毕业三年内毕业生满意度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5CE47">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0B28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635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BA1F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AE6F2E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问卷</w:t>
            </w:r>
          </w:p>
        </w:tc>
      </w:tr>
      <w:tr w14:paraId="2F52E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E7B6F8">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91C2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教职工满意度*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C59A2">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42F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6A78">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2050">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A1670C">
            <w:pPr>
              <w:jc w:val="center"/>
              <w:outlineLvl w:val="9"/>
              <w:rPr>
                <w:rFonts w:hint="eastAsia" w:ascii="宋体" w:hAnsi="宋体" w:eastAsia="宋体" w:cs="宋体"/>
                <w:i w:val="0"/>
                <w:iCs w:val="0"/>
                <w:color w:val="000000"/>
                <w:sz w:val="24"/>
                <w:szCs w:val="24"/>
                <w:u w:val="none"/>
              </w:rPr>
            </w:pPr>
          </w:p>
        </w:tc>
      </w:tr>
      <w:tr w14:paraId="39D25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B42D5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951A7">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用人单位满意度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A4E8">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F808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E2D6D">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6A2F">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13E1D7">
            <w:pPr>
              <w:jc w:val="center"/>
              <w:outlineLvl w:val="9"/>
              <w:rPr>
                <w:rFonts w:hint="eastAsia" w:ascii="宋体" w:hAnsi="宋体" w:eastAsia="宋体" w:cs="宋体"/>
                <w:i w:val="0"/>
                <w:iCs w:val="0"/>
                <w:color w:val="000000"/>
                <w:sz w:val="24"/>
                <w:szCs w:val="24"/>
                <w:u w:val="none"/>
              </w:rPr>
            </w:pPr>
          </w:p>
        </w:tc>
      </w:tr>
      <w:tr w14:paraId="747FB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3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237C0B3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19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DE1B55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家长满意度</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C995D79">
            <w:pPr>
              <w:keepNext w:val="0"/>
              <w:keepLines w:val="0"/>
              <w:widowControl/>
              <w:suppressLineNumbers w:val="0"/>
              <w:jc w:val="center"/>
              <w:textAlignment w:val="center"/>
              <w:outlineLvl w:val="9"/>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035F97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96.5</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CD20F58">
            <w:pPr>
              <w:jc w:val="center"/>
              <w:outlineLvl w:val="9"/>
              <w:rPr>
                <w:rFonts w:hint="eastAsia" w:ascii="宋体" w:hAnsi="宋体" w:eastAsia="宋体" w:cs="宋体"/>
                <w:i w:val="0"/>
                <w:iCs w:val="0"/>
                <w:color w:val="000000"/>
                <w:sz w:val="24"/>
                <w:szCs w:val="24"/>
                <w:u w:val="none"/>
              </w:rPr>
            </w:pPr>
          </w:p>
        </w:tc>
        <w:tc>
          <w:tcPr>
            <w:tcW w:w="115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A426B32">
            <w:pPr>
              <w:jc w:val="center"/>
              <w:outlineLvl w:val="9"/>
              <w:rPr>
                <w:rFonts w:hint="eastAsia" w:ascii="宋体" w:hAnsi="宋体" w:eastAsia="宋体" w:cs="宋体"/>
                <w:i w:val="0"/>
                <w:iCs w:val="0"/>
                <w:color w:val="000000"/>
                <w:sz w:val="24"/>
                <w:szCs w:val="24"/>
                <w:u w:val="none"/>
              </w:rPr>
            </w:pPr>
          </w:p>
        </w:tc>
        <w:tc>
          <w:tcPr>
            <w:tcW w:w="1164"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426AAE8">
            <w:pPr>
              <w:jc w:val="center"/>
              <w:outlineLvl w:val="9"/>
              <w:rPr>
                <w:rFonts w:hint="eastAsia" w:ascii="宋体" w:hAnsi="宋体" w:eastAsia="宋体" w:cs="宋体"/>
                <w:i w:val="0"/>
                <w:iCs w:val="0"/>
                <w:color w:val="000000"/>
                <w:sz w:val="22"/>
                <w:szCs w:val="22"/>
                <w:u w:val="none"/>
              </w:rPr>
            </w:pPr>
          </w:p>
        </w:tc>
      </w:tr>
    </w:tbl>
    <w:p w14:paraId="3273616A">
      <w:pPr>
        <w:spacing w:line="580" w:lineRule="exact"/>
        <w:ind w:firstLine="960" w:firstLineChars="300"/>
        <w:outlineLvl w:val="9"/>
        <w:rPr>
          <w:rFonts w:hint="eastAsia" w:ascii="仿宋_GB2312" w:hAnsi="Yu Mincho Light" w:eastAsia="仿宋_GB2312" w:cs="Yu Mincho Light"/>
          <w:sz w:val="32"/>
        </w:rPr>
      </w:pPr>
    </w:p>
    <w:p w14:paraId="183D380F">
      <w:pPr>
        <w:spacing w:line="580" w:lineRule="exact"/>
        <w:ind w:firstLine="960" w:firstLineChars="300"/>
        <w:outlineLvl w:val="9"/>
        <w:rPr>
          <w:rFonts w:hint="eastAsia" w:ascii="仿宋_GB2312" w:hAnsi="Yu Mincho Light" w:eastAsia="仿宋_GB2312" w:cs="Yu Mincho Light"/>
          <w:sz w:val="32"/>
        </w:rPr>
      </w:pPr>
    </w:p>
    <w:p w14:paraId="47FD7180">
      <w:pPr>
        <w:spacing w:line="580" w:lineRule="exact"/>
        <w:ind w:firstLine="960" w:firstLineChars="300"/>
        <w:outlineLvl w:val="9"/>
        <w:rPr>
          <w:rFonts w:hint="eastAsia" w:ascii="仿宋_GB2312" w:hAnsi="Yu Mincho Light" w:eastAsia="仿宋_GB2312" w:cs="Yu Mincho Light"/>
          <w:sz w:val="32"/>
        </w:rPr>
      </w:pPr>
    </w:p>
    <w:p w14:paraId="5EE1C696">
      <w:pPr>
        <w:spacing w:line="580" w:lineRule="exact"/>
        <w:ind w:firstLine="960" w:firstLineChars="300"/>
        <w:outlineLvl w:val="9"/>
        <w:rPr>
          <w:rFonts w:hint="eastAsia" w:ascii="仿宋_GB2312" w:hAnsi="Yu Mincho Light" w:eastAsia="仿宋_GB2312" w:cs="Yu Mincho Light"/>
          <w:sz w:val="32"/>
        </w:rPr>
      </w:pPr>
    </w:p>
    <w:p w14:paraId="6CDA89C7">
      <w:pPr>
        <w:spacing w:line="580" w:lineRule="exact"/>
        <w:ind w:firstLine="960" w:firstLineChars="300"/>
        <w:outlineLvl w:val="9"/>
        <w:rPr>
          <w:rFonts w:hint="eastAsia" w:ascii="仿宋_GB2312" w:hAnsi="Yu Mincho Light" w:eastAsia="仿宋_GB2312" w:cs="Yu Mincho Light"/>
          <w:sz w:val="32"/>
        </w:rPr>
        <w:sectPr>
          <w:pgSz w:w="11906" w:h="16838"/>
          <w:pgMar w:top="1100" w:right="1800" w:bottom="1157" w:left="1800" w:header="851" w:footer="992" w:gutter="0"/>
          <w:cols w:space="425" w:num="1"/>
          <w:docGrid w:type="lines" w:linePitch="312" w:charSpace="0"/>
        </w:sectPr>
      </w:pPr>
    </w:p>
    <w:tbl>
      <w:tblPr>
        <w:tblStyle w:val="19"/>
        <w:tblW w:w="81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2"/>
        <w:gridCol w:w="4222"/>
        <w:gridCol w:w="943"/>
        <w:gridCol w:w="1039"/>
        <w:gridCol w:w="989"/>
      </w:tblGrid>
      <w:tr w14:paraId="5C9A5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jc w:val="center"/>
        </w:trPr>
        <w:tc>
          <w:tcPr>
            <w:tcW w:w="8165" w:type="dxa"/>
            <w:gridSpan w:val="5"/>
            <w:tcBorders>
              <w:top w:val="nil"/>
              <w:left w:val="nil"/>
              <w:bottom w:val="nil"/>
              <w:right w:val="nil"/>
            </w:tcBorders>
            <w:shd w:val="clear" w:color="auto" w:fill="auto"/>
            <w:noWrap/>
            <w:vAlign w:val="center"/>
          </w:tcPr>
          <w:p w14:paraId="508698D3">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89" w:name="_Toc30389"/>
            <w:r>
              <w:rPr>
                <w:rFonts w:hint="eastAsia" w:ascii="宋体" w:hAnsi="宋体" w:eastAsia="宋体" w:cs="宋体"/>
                <w:b/>
                <w:bCs/>
                <w:i w:val="0"/>
                <w:iCs w:val="0"/>
                <w:color w:val="000000"/>
                <w:kern w:val="0"/>
                <w:sz w:val="36"/>
                <w:szCs w:val="36"/>
                <w:u w:val="none"/>
                <w:lang w:val="en-US" w:eastAsia="zh-CN" w:bidi="ar"/>
              </w:rPr>
              <w:t>表3  教学资源表</w:t>
            </w:r>
            <w:bookmarkEnd w:id="189"/>
          </w:p>
        </w:tc>
      </w:tr>
      <w:tr w14:paraId="54FB3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7F88F7F7">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422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36A4E5E2">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43" w:type="dxa"/>
            <w:tcBorders>
              <w:top w:val="single" w:color="000000" w:sz="8" w:space="0"/>
              <w:left w:val="single" w:color="000000" w:sz="4" w:space="0"/>
              <w:bottom w:val="single" w:color="000000" w:sz="8" w:space="0"/>
              <w:right w:val="single" w:color="000000" w:sz="4" w:space="0"/>
            </w:tcBorders>
            <w:shd w:val="clear" w:color="auto" w:fill="auto"/>
            <w:vAlign w:val="center"/>
          </w:tcPr>
          <w:p w14:paraId="11DC422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039" w:type="dxa"/>
            <w:tcBorders>
              <w:top w:val="single" w:color="000000" w:sz="8" w:space="0"/>
              <w:left w:val="single" w:color="000000" w:sz="4" w:space="0"/>
              <w:bottom w:val="single" w:color="000000" w:sz="8" w:space="0"/>
              <w:right w:val="single" w:color="000000" w:sz="4" w:space="0"/>
            </w:tcBorders>
            <w:shd w:val="clear" w:color="auto" w:fill="auto"/>
            <w:vAlign w:val="center"/>
          </w:tcPr>
          <w:p w14:paraId="1DFDFBF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89" w:type="dxa"/>
            <w:tcBorders>
              <w:top w:val="single" w:color="000000" w:sz="8" w:space="0"/>
              <w:left w:val="single" w:color="000000" w:sz="4" w:space="0"/>
              <w:bottom w:val="single" w:color="000000" w:sz="8" w:space="0"/>
              <w:right w:val="single" w:color="000000" w:sz="8" w:space="0"/>
            </w:tcBorders>
            <w:shd w:val="clear" w:color="auto" w:fill="auto"/>
            <w:vAlign w:val="center"/>
          </w:tcPr>
          <w:p w14:paraId="3A597E72">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r>
      <w:tr w14:paraId="31A87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8" w:space="0"/>
              <w:left w:val="single" w:color="000000" w:sz="8" w:space="0"/>
              <w:bottom w:val="single" w:color="000000" w:sz="4" w:space="0"/>
              <w:right w:val="single" w:color="000000" w:sz="4" w:space="0"/>
            </w:tcBorders>
            <w:shd w:val="clear" w:color="auto" w:fill="auto"/>
            <w:vAlign w:val="center"/>
          </w:tcPr>
          <w:p w14:paraId="3F3FB8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4331517">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生师比*</w:t>
            </w:r>
          </w:p>
        </w:tc>
        <w:tc>
          <w:tcPr>
            <w:tcW w:w="94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90A321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39"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438A48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w:t>
            </w:r>
          </w:p>
        </w:tc>
        <w:tc>
          <w:tcPr>
            <w:tcW w:w="989" w:type="dxa"/>
            <w:tcBorders>
              <w:top w:val="single" w:color="000000" w:sz="8" w:space="0"/>
              <w:left w:val="single" w:color="000000" w:sz="4" w:space="0"/>
              <w:bottom w:val="single" w:color="000000" w:sz="4" w:space="0"/>
              <w:right w:val="single" w:color="000000" w:sz="8" w:space="0"/>
            </w:tcBorders>
            <w:shd w:val="clear" w:color="auto" w:fill="auto"/>
            <w:vAlign w:val="center"/>
          </w:tcPr>
          <w:p w14:paraId="17CF97E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w:t>
            </w:r>
          </w:p>
        </w:tc>
      </w:tr>
      <w:tr w14:paraId="2F8E9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2B60B5B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4658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“双师型”教师比例</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2D8C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739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6B948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87</w:t>
            </w:r>
          </w:p>
        </w:tc>
      </w:tr>
      <w:tr w14:paraId="73F06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32E1015D">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038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其中：高级“双师型”教师比例</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237C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3E0D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88</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6AF90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14:paraId="4560D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68F4A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71DF">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高级专业技术职务专任教师比例*</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A57A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1537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39.8</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BA9A4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40.8</w:t>
            </w:r>
          </w:p>
        </w:tc>
      </w:tr>
      <w:tr w14:paraId="21639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3804072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62A0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专业群数量*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251B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23C9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FA26CD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66CB8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B32406E">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9B95E">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专业数量*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247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0AB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361D4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r>
      <w:tr w14:paraId="450CE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0BCE906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42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93189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教学计划内课程总数*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4F44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27B9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305</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B449A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398</w:t>
            </w:r>
          </w:p>
        </w:tc>
      </w:tr>
      <w:tr w14:paraId="2B6FB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98FADF6">
            <w:pPr>
              <w:jc w:val="center"/>
              <w:outlineLvl w:val="9"/>
              <w:rPr>
                <w:rFonts w:hint="eastAsia" w:ascii="宋体" w:hAnsi="宋体" w:eastAsia="宋体" w:cs="宋体"/>
                <w:i w:val="0"/>
                <w:iCs w:val="0"/>
                <w:color w:val="000000"/>
                <w:sz w:val="24"/>
                <w:szCs w:val="24"/>
                <w:u w:val="none"/>
              </w:rPr>
            </w:pPr>
          </w:p>
        </w:tc>
        <w:tc>
          <w:tcPr>
            <w:tcW w:w="42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AE4FC">
            <w:pPr>
              <w:outlineLvl w:val="9"/>
              <w:rPr>
                <w:rFonts w:hint="eastAsia" w:ascii="宋体" w:hAnsi="宋体" w:eastAsia="宋体" w:cs="宋体"/>
                <w:i w:val="0"/>
                <w:iCs w:val="0"/>
                <w:color w:val="000000"/>
                <w:sz w:val="24"/>
                <w:szCs w:val="24"/>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13C6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C90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99000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14891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210000</w:t>
            </w:r>
          </w:p>
        </w:tc>
      </w:tr>
      <w:tr w14:paraId="7102C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B93A38C">
            <w:pPr>
              <w:jc w:val="center"/>
              <w:outlineLvl w:val="9"/>
              <w:rPr>
                <w:rFonts w:hint="eastAsia" w:ascii="宋体" w:hAnsi="宋体" w:eastAsia="宋体" w:cs="宋体"/>
                <w:i w:val="0"/>
                <w:iCs w:val="0"/>
                <w:color w:val="000000"/>
                <w:sz w:val="24"/>
                <w:szCs w:val="24"/>
                <w:u w:val="none"/>
              </w:rPr>
            </w:pPr>
          </w:p>
        </w:tc>
        <w:tc>
          <w:tcPr>
            <w:tcW w:w="42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4C435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其中：课证融通课程数*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6DC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5543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671C3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5BFB0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06C7D2C">
            <w:pPr>
              <w:jc w:val="center"/>
              <w:outlineLvl w:val="9"/>
              <w:rPr>
                <w:rFonts w:hint="eastAsia" w:ascii="宋体" w:hAnsi="宋体" w:eastAsia="宋体" w:cs="宋体"/>
                <w:i w:val="0"/>
                <w:iCs w:val="0"/>
                <w:color w:val="000000"/>
                <w:sz w:val="24"/>
                <w:szCs w:val="24"/>
                <w:u w:val="none"/>
              </w:rPr>
            </w:pPr>
          </w:p>
        </w:tc>
        <w:tc>
          <w:tcPr>
            <w:tcW w:w="42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CD9BC">
            <w:pPr>
              <w:outlineLvl w:val="9"/>
              <w:rPr>
                <w:rFonts w:hint="eastAsia" w:ascii="宋体" w:hAnsi="宋体" w:eastAsia="宋体" w:cs="宋体"/>
                <w:i w:val="0"/>
                <w:iCs w:val="0"/>
                <w:color w:val="000000"/>
                <w:sz w:val="24"/>
                <w:szCs w:val="24"/>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200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6CB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391EC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2100</w:t>
            </w:r>
          </w:p>
        </w:tc>
      </w:tr>
      <w:tr w14:paraId="05DAF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E332B62">
            <w:pPr>
              <w:jc w:val="center"/>
              <w:outlineLvl w:val="9"/>
              <w:rPr>
                <w:rFonts w:hint="eastAsia" w:ascii="宋体" w:hAnsi="宋体" w:eastAsia="宋体" w:cs="宋体"/>
                <w:i w:val="0"/>
                <w:iCs w:val="0"/>
                <w:color w:val="000000"/>
                <w:sz w:val="24"/>
                <w:szCs w:val="24"/>
                <w:u w:val="none"/>
              </w:rPr>
            </w:pPr>
          </w:p>
        </w:tc>
        <w:tc>
          <w:tcPr>
            <w:tcW w:w="42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94F458">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网络教学课程数*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B451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11B8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4C286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199CF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9209E98">
            <w:pPr>
              <w:jc w:val="center"/>
              <w:outlineLvl w:val="9"/>
              <w:rPr>
                <w:rFonts w:hint="eastAsia" w:ascii="宋体" w:hAnsi="宋体" w:eastAsia="宋体" w:cs="宋体"/>
                <w:i w:val="0"/>
                <w:iCs w:val="0"/>
                <w:color w:val="000000"/>
                <w:sz w:val="24"/>
                <w:szCs w:val="24"/>
                <w:u w:val="none"/>
              </w:rPr>
            </w:pPr>
          </w:p>
        </w:tc>
        <w:tc>
          <w:tcPr>
            <w:tcW w:w="42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CA9AD">
            <w:pPr>
              <w:outlineLvl w:val="9"/>
              <w:rPr>
                <w:rFonts w:hint="eastAsia" w:ascii="宋体" w:hAnsi="宋体" w:eastAsia="宋体" w:cs="宋体"/>
                <w:i w:val="0"/>
                <w:iCs w:val="0"/>
                <w:color w:val="000000"/>
                <w:sz w:val="24"/>
                <w:szCs w:val="24"/>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FC91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819F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C67EA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5600</w:t>
            </w:r>
          </w:p>
        </w:tc>
      </w:tr>
      <w:tr w14:paraId="0205C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A4B3A72">
            <w:pPr>
              <w:jc w:val="center"/>
              <w:outlineLvl w:val="9"/>
              <w:rPr>
                <w:rFonts w:hint="eastAsia" w:ascii="宋体" w:hAnsi="宋体" w:eastAsia="宋体" w:cs="宋体"/>
                <w:i w:val="0"/>
                <w:iCs w:val="0"/>
                <w:color w:val="000000"/>
                <w:sz w:val="24"/>
                <w:szCs w:val="24"/>
                <w:u w:val="none"/>
              </w:rPr>
            </w:pPr>
          </w:p>
        </w:tc>
        <w:tc>
          <w:tcPr>
            <w:tcW w:w="42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EF7F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校企合作课程数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F5E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A7A3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6A41E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3DF8C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22E1CE8">
            <w:pPr>
              <w:jc w:val="center"/>
              <w:outlineLvl w:val="9"/>
              <w:rPr>
                <w:rFonts w:hint="eastAsia" w:ascii="宋体" w:hAnsi="宋体" w:eastAsia="宋体" w:cs="宋体"/>
                <w:i w:val="0"/>
                <w:iCs w:val="0"/>
                <w:color w:val="000000"/>
                <w:sz w:val="24"/>
                <w:szCs w:val="24"/>
                <w:u w:val="none"/>
              </w:rPr>
            </w:pPr>
          </w:p>
        </w:tc>
        <w:tc>
          <w:tcPr>
            <w:tcW w:w="42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2C2C0">
            <w:pPr>
              <w:outlineLvl w:val="9"/>
              <w:rPr>
                <w:rFonts w:hint="eastAsia" w:ascii="宋体" w:hAnsi="宋体" w:eastAsia="宋体" w:cs="宋体"/>
                <w:i w:val="0"/>
                <w:iCs w:val="0"/>
                <w:color w:val="000000"/>
                <w:sz w:val="24"/>
                <w:szCs w:val="24"/>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3B22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ECE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907FA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w:t>
            </w:r>
          </w:p>
        </w:tc>
      </w:tr>
      <w:tr w14:paraId="252DA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5484DF6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E414">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专业教学资源库数 </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C9CA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A86B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ACE82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15D0F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2C8ADCE">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848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其中：国家级数量*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D719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8DAB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0C197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9A05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FB02C77">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FC4E">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91CB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514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F7299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35909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31DE8589">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833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省级数量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E14C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B70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E95F8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6D0AC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143D4BF">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E325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C495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CE9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D1CED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56005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1D1DF45">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DB9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校级数量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EFC1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C32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5B1D8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D36E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01E4672B">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AFFB">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69C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FF3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A8BCE9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1A0B9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3C1346C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2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8DB257">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在线精品课程数*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1354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692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E18BB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C39A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A8AD03">
            <w:pPr>
              <w:jc w:val="center"/>
              <w:outlineLvl w:val="9"/>
              <w:rPr>
                <w:rFonts w:hint="eastAsia" w:ascii="宋体" w:hAnsi="宋体" w:eastAsia="宋体" w:cs="宋体"/>
                <w:i w:val="0"/>
                <w:iCs w:val="0"/>
                <w:color w:val="000000"/>
                <w:sz w:val="24"/>
                <w:szCs w:val="24"/>
                <w:u w:val="none"/>
              </w:rPr>
            </w:pPr>
          </w:p>
        </w:tc>
        <w:tc>
          <w:tcPr>
            <w:tcW w:w="42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627CA3">
            <w:pPr>
              <w:outlineLvl w:val="9"/>
              <w:rPr>
                <w:rFonts w:hint="eastAsia" w:ascii="宋体" w:hAnsi="宋体" w:eastAsia="宋体" w:cs="宋体"/>
                <w:i w:val="0"/>
                <w:iCs w:val="0"/>
                <w:color w:val="000000"/>
                <w:sz w:val="24"/>
                <w:szCs w:val="24"/>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DB49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B5B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D0B5C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r>
      <w:tr w14:paraId="7168D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6977D6">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1B54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在线精品课程课均学生数*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FEDA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D9B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C2C63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700</w:t>
            </w:r>
          </w:p>
        </w:tc>
      </w:tr>
      <w:tr w14:paraId="1D33D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9730875">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EDFA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其中：国家级数量*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8B52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E46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4E2F1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FD64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92D16B">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F1CB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4A4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05DD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D9CCD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53D8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16D18AB">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B307">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省级数量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8E8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9125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C4D4E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74873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874494">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511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6302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5B1D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8EE2C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3873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B71C8AC">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5B2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校级数量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6659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78D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1DCC8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14F77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49CD80F">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867A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094A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9FA7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850CD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1FCFA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3DFF46E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F1CA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虚拟仿真实训基地数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7814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A9DE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14998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117E9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3CFD5E8C">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AD2E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其中：国家级数量*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69F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87A7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0C2C7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E3C2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FD87720">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36B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310D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9161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52CAE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B9F5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2FC65C1">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603C">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省级数量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6962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262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B1171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7A0A9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5BC048D">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0EB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C6B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D5C3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7C0FF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1C346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8E7596C">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F57E1">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校级数量</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AECB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72F0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530E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52895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BD623BB">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0048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D61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D38A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28105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44B7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507D2E5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2009">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编写教材数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650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7CD5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6980C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6016B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A47CEAE">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202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其中：国家规划教材数*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CC8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ADFE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AC572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06C2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49F77BE">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74F1E">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校企合作编写教材数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F950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99B9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689CC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4202C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2FF3B437">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94D4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新形态教材数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E64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4450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05AFF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1064D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9E68880">
            <w:pPr>
              <w:jc w:val="center"/>
              <w:outlineLvl w:val="9"/>
              <w:rPr>
                <w:rFonts w:hint="eastAsia" w:ascii="宋体" w:hAnsi="宋体" w:eastAsia="宋体" w:cs="宋体"/>
                <w:i w:val="0"/>
                <w:iCs w:val="0"/>
                <w:color w:val="000000"/>
                <w:sz w:val="24"/>
                <w:szCs w:val="24"/>
                <w:u w:val="none"/>
              </w:rPr>
            </w:pP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64A8">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接入国家智慧教育平台数*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D85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6E8F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2D157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9E3A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C2CBE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27BE6">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互联网出口带宽*</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99BD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Mbps</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3A14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61962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14:paraId="55BB6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BD451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B7198">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校园网主干最大带宽*</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2B78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Mbps</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4298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10EF1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14:paraId="47EE4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6078B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6F9A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生均校内实践教学工位数*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CE0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个/生</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BBD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0.43</w:t>
            </w:r>
          </w:p>
        </w:tc>
        <w:tc>
          <w:tcPr>
            <w:tcW w:w="98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1E28D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w:t>
            </w:r>
          </w:p>
        </w:tc>
      </w:tr>
      <w:tr w14:paraId="0AE3B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5310EF0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422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6720F5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生均教学科研仪器设备值*</w:t>
            </w:r>
          </w:p>
        </w:tc>
        <w:tc>
          <w:tcPr>
            <w:tcW w:w="943"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B9F70E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元/生</w:t>
            </w:r>
          </w:p>
        </w:tc>
        <w:tc>
          <w:tcPr>
            <w:tcW w:w="1039"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05F8F1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11270</w:t>
            </w:r>
          </w:p>
        </w:tc>
        <w:tc>
          <w:tcPr>
            <w:tcW w:w="989" w:type="dxa"/>
            <w:tcBorders>
              <w:top w:val="single" w:color="000000" w:sz="4" w:space="0"/>
              <w:left w:val="single" w:color="000000" w:sz="4" w:space="0"/>
              <w:bottom w:val="single" w:color="000000" w:sz="8" w:space="0"/>
              <w:right w:val="single" w:color="000000" w:sz="8" w:space="0"/>
            </w:tcBorders>
            <w:shd w:val="clear" w:color="auto" w:fill="auto"/>
            <w:noWrap/>
            <w:vAlign w:val="center"/>
          </w:tcPr>
          <w:p w14:paraId="387CFA1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12300</w:t>
            </w:r>
          </w:p>
        </w:tc>
      </w:tr>
    </w:tbl>
    <w:p w14:paraId="2BE7666A">
      <w:pPr>
        <w:spacing w:line="580" w:lineRule="exact"/>
        <w:ind w:firstLine="960" w:firstLineChars="300"/>
        <w:outlineLvl w:val="9"/>
        <w:rPr>
          <w:rFonts w:hint="eastAsia" w:ascii="仿宋_GB2312" w:hAnsi="Yu Mincho Light" w:eastAsia="仿宋_GB2312" w:cs="Yu Mincho Light"/>
          <w:sz w:val="32"/>
        </w:rPr>
      </w:pPr>
    </w:p>
    <w:p w14:paraId="7C4B2928">
      <w:pPr>
        <w:spacing w:line="580" w:lineRule="exact"/>
        <w:ind w:firstLine="960" w:firstLineChars="300"/>
        <w:outlineLvl w:val="9"/>
        <w:rPr>
          <w:rFonts w:hint="eastAsia" w:ascii="仿宋_GB2312" w:hAnsi="Yu Mincho Light" w:eastAsia="仿宋_GB2312" w:cs="Yu Mincho Light"/>
          <w:sz w:val="32"/>
        </w:rPr>
      </w:pPr>
    </w:p>
    <w:p w14:paraId="32B1FBB4">
      <w:pPr>
        <w:spacing w:line="580" w:lineRule="exact"/>
        <w:ind w:firstLine="960" w:firstLineChars="300"/>
        <w:outlineLvl w:val="9"/>
        <w:rPr>
          <w:rFonts w:hint="eastAsia" w:ascii="仿宋_GB2312" w:hAnsi="Yu Mincho Light" w:eastAsia="仿宋_GB2312" w:cs="Yu Mincho Light"/>
          <w:sz w:val="32"/>
        </w:rPr>
        <w:sectPr>
          <w:pgSz w:w="11906" w:h="16838"/>
          <w:pgMar w:top="1100" w:right="1800" w:bottom="1157" w:left="1800" w:header="851" w:footer="992" w:gutter="0"/>
          <w:cols w:space="425" w:num="1"/>
          <w:docGrid w:type="lines" w:linePitch="312" w:charSpace="0"/>
        </w:sectPr>
      </w:pPr>
    </w:p>
    <w:p w14:paraId="3D5A26E3">
      <w:pPr>
        <w:spacing w:line="580" w:lineRule="exact"/>
        <w:ind w:firstLine="960" w:firstLineChars="300"/>
        <w:outlineLvl w:val="9"/>
        <w:rPr>
          <w:rFonts w:hint="eastAsia" w:ascii="仿宋_GB2312" w:hAnsi="Yu Mincho Light" w:eastAsia="仿宋_GB2312" w:cs="Yu Mincho Light"/>
          <w:sz w:val="32"/>
        </w:rPr>
      </w:pPr>
    </w:p>
    <w:tbl>
      <w:tblPr>
        <w:tblStyle w:val="19"/>
        <w:tblW w:w="753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3659"/>
        <w:gridCol w:w="972"/>
        <w:gridCol w:w="972"/>
        <w:gridCol w:w="972"/>
      </w:tblGrid>
      <w:tr w14:paraId="6B7B7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jc w:val="center"/>
        </w:trPr>
        <w:tc>
          <w:tcPr>
            <w:tcW w:w="7547" w:type="dxa"/>
            <w:gridSpan w:val="5"/>
            <w:tcBorders>
              <w:top w:val="nil"/>
              <w:left w:val="nil"/>
              <w:bottom w:val="nil"/>
              <w:right w:val="nil"/>
            </w:tcBorders>
            <w:shd w:val="clear" w:color="auto" w:fill="auto"/>
            <w:noWrap/>
            <w:vAlign w:val="center"/>
          </w:tcPr>
          <w:p w14:paraId="50211C5D">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90" w:name="_Toc13451"/>
            <w:r>
              <w:rPr>
                <w:rFonts w:hint="eastAsia" w:ascii="宋体" w:hAnsi="宋体" w:eastAsia="宋体" w:cs="宋体"/>
                <w:b/>
                <w:bCs/>
                <w:i w:val="0"/>
                <w:iCs w:val="0"/>
                <w:color w:val="000000"/>
                <w:kern w:val="0"/>
                <w:sz w:val="36"/>
                <w:szCs w:val="36"/>
                <w:u w:val="none"/>
                <w:lang w:val="en-US" w:eastAsia="zh-CN" w:bidi="ar"/>
              </w:rPr>
              <w:t>表4  服务贡献表</w:t>
            </w:r>
            <w:bookmarkEnd w:id="190"/>
          </w:p>
        </w:tc>
      </w:tr>
      <w:tr w14:paraId="5E675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299D353B">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659" w:type="dxa"/>
            <w:tcBorders>
              <w:top w:val="single" w:color="000000" w:sz="8" w:space="0"/>
              <w:left w:val="single" w:color="000000" w:sz="4" w:space="0"/>
              <w:bottom w:val="single" w:color="000000" w:sz="8" w:space="0"/>
              <w:right w:val="single" w:color="000000" w:sz="4" w:space="0"/>
            </w:tcBorders>
            <w:shd w:val="clear" w:color="auto" w:fill="auto"/>
            <w:vAlign w:val="center"/>
          </w:tcPr>
          <w:p w14:paraId="62152E03">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48E1900A">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0CA9E271">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72" w:type="dxa"/>
            <w:tcBorders>
              <w:top w:val="single" w:color="000000" w:sz="8" w:space="0"/>
              <w:left w:val="single" w:color="000000" w:sz="4" w:space="0"/>
              <w:bottom w:val="single" w:color="000000" w:sz="8" w:space="0"/>
              <w:right w:val="single" w:color="000000" w:sz="8" w:space="0"/>
            </w:tcBorders>
            <w:shd w:val="clear" w:color="auto" w:fill="auto"/>
            <w:vAlign w:val="center"/>
          </w:tcPr>
          <w:p w14:paraId="4F6CFEA5">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r>
      <w:tr w14:paraId="05CEE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517F30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59"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78F961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毕业生初次就业人数*</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F688D0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F90865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127</w:t>
            </w:r>
          </w:p>
        </w:tc>
        <w:tc>
          <w:tcPr>
            <w:tcW w:w="972" w:type="dxa"/>
            <w:tcBorders>
              <w:top w:val="single" w:color="000000" w:sz="8" w:space="0"/>
              <w:left w:val="single" w:color="000000" w:sz="4" w:space="0"/>
              <w:bottom w:val="single" w:color="000000" w:sz="4" w:space="0"/>
              <w:right w:val="single" w:color="000000" w:sz="8" w:space="0"/>
            </w:tcBorders>
            <w:shd w:val="clear" w:color="auto" w:fill="auto"/>
            <w:vAlign w:val="center"/>
          </w:tcPr>
          <w:p w14:paraId="7A86485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w:t>
            </w:r>
          </w:p>
        </w:tc>
      </w:tr>
      <w:tr w14:paraId="773DF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1A7FF71">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661A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其中：A类：留在当地就业人数*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8BB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A2C3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126</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A3B9D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102</w:t>
            </w:r>
          </w:p>
        </w:tc>
      </w:tr>
      <w:tr w14:paraId="0FDA6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092C852">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8B5E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B类：到西部和东北地区就业人数*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D6C4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7F9C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6D272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74DB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7C48B79">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1C5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C类：到中小微企业就业人数*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B14F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3E44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4FAE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r>
      <w:tr w14:paraId="539CB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8ECBCE9">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D93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D类：到大型企业就业人数*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55A1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3D0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D66D8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45E5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266B364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9C33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横向技术服务到款额</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E18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644A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1.27</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1015B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4DE3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ED56715">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2F6E">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横向技术服务产生的经济效益</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1218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EFBD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BA284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AA14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F851F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19588">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纵向科研经费到款额*</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515C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B571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4FFB8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157A3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CDAB4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748B5">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技术产权交易收入*</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0B1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2374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7A9D0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83AE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0DAD87B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AC777">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知识产权项目数量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A015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39E4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4AB8D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71913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0CEF8DD">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BE1B">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其中：专利授权数量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6700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E179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5F176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ABB4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64E932">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A4B5C">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发明专利授权数量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7410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3CB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5D63E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E365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21BA5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FB2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专利转让数量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2658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CAC4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1BF72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4DE29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BA6E9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64C2">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专利成果转化到款额</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01E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76EA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1F628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9126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5477A33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84DC0">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非学历培训项目数*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6560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20F4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91CB4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0E9B3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D9D6C1C">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9F73">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非学历培训学时*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4617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4DF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228042</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1B57C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190416</w:t>
            </w:r>
          </w:p>
        </w:tc>
      </w:tr>
      <w:tr w14:paraId="480FD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FE9363A">
            <w:pPr>
              <w:jc w:val="center"/>
              <w:outlineLvl w:val="9"/>
              <w:rPr>
                <w:rFonts w:hint="eastAsia" w:ascii="宋体" w:hAnsi="宋体" w:eastAsia="宋体" w:cs="宋体"/>
                <w:i w:val="0"/>
                <w:iCs w:val="0"/>
                <w:color w:val="000000"/>
                <w:sz w:val="24"/>
                <w:szCs w:val="24"/>
                <w:u w:val="none"/>
              </w:rPr>
            </w:pPr>
          </w:p>
        </w:tc>
        <w:tc>
          <w:tcPr>
            <w:tcW w:w="3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7E33B">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公益项目培训学时*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B45B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学时</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8845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18630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72696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14434</w:t>
            </w:r>
          </w:p>
        </w:tc>
      </w:tr>
      <w:tr w14:paraId="43025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595AD19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659"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3629F0D">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非学历培训到账经费</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0C8E3A4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596BEE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92.435</w:t>
            </w:r>
          </w:p>
        </w:tc>
        <w:tc>
          <w:tcPr>
            <w:tcW w:w="0" w:type="auto"/>
            <w:tcBorders>
              <w:top w:val="single" w:color="000000" w:sz="4" w:space="0"/>
              <w:left w:val="single" w:color="000000" w:sz="4" w:space="0"/>
              <w:bottom w:val="single" w:color="000000" w:sz="8" w:space="0"/>
              <w:right w:val="single" w:color="000000" w:sz="8" w:space="0"/>
            </w:tcBorders>
            <w:shd w:val="clear" w:color="auto" w:fill="auto"/>
            <w:noWrap/>
            <w:vAlign w:val="center"/>
          </w:tcPr>
          <w:p w14:paraId="05F79FB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63.38</w:t>
            </w:r>
          </w:p>
        </w:tc>
      </w:tr>
    </w:tbl>
    <w:p w14:paraId="22B31251">
      <w:pPr>
        <w:spacing w:line="580" w:lineRule="exact"/>
        <w:ind w:firstLine="960" w:firstLineChars="300"/>
        <w:outlineLvl w:val="9"/>
        <w:rPr>
          <w:rFonts w:hint="eastAsia" w:ascii="仿宋_GB2312" w:hAnsi="Yu Mincho Light" w:eastAsia="仿宋_GB2312" w:cs="Yu Mincho Light"/>
          <w:sz w:val="32"/>
        </w:rPr>
      </w:pPr>
    </w:p>
    <w:p w14:paraId="554BD1B9">
      <w:pPr>
        <w:spacing w:line="580" w:lineRule="exact"/>
        <w:ind w:firstLine="960" w:firstLineChars="300"/>
        <w:outlineLvl w:val="9"/>
        <w:rPr>
          <w:rFonts w:hint="eastAsia" w:ascii="仿宋_GB2312" w:hAnsi="Yu Mincho Light" w:eastAsia="仿宋_GB2312" w:cs="Yu Mincho Light"/>
          <w:sz w:val="32"/>
        </w:rPr>
        <w:sectPr>
          <w:pgSz w:w="11906" w:h="16838"/>
          <w:pgMar w:top="1100" w:right="1800" w:bottom="1157" w:left="1800" w:header="851" w:footer="992" w:gutter="0"/>
          <w:cols w:space="425" w:num="1"/>
          <w:docGrid w:type="lines" w:linePitch="312" w:charSpace="0"/>
        </w:sectPr>
      </w:pPr>
    </w:p>
    <w:tbl>
      <w:tblPr>
        <w:tblStyle w:val="19"/>
        <w:tblW w:w="75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3699"/>
        <w:gridCol w:w="972"/>
        <w:gridCol w:w="972"/>
        <w:gridCol w:w="972"/>
      </w:tblGrid>
      <w:tr w14:paraId="588DE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7587" w:type="dxa"/>
            <w:gridSpan w:val="5"/>
            <w:tcBorders>
              <w:top w:val="nil"/>
              <w:left w:val="nil"/>
              <w:bottom w:val="nil"/>
              <w:right w:val="nil"/>
            </w:tcBorders>
            <w:shd w:val="clear" w:color="auto" w:fill="auto"/>
            <w:noWrap/>
            <w:vAlign w:val="center"/>
          </w:tcPr>
          <w:p w14:paraId="1596D9DE">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91" w:name="_Toc24972"/>
            <w:r>
              <w:rPr>
                <w:rFonts w:hint="eastAsia" w:ascii="宋体" w:hAnsi="宋体" w:eastAsia="宋体" w:cs="宋体"/>
                <w:b/>
                <w:bCs/>
                <w:i w:val="0"/>
                <w:iCs w:val="0"/>
                <w:color w:val="000000"/>
                <w:kern w:val="0"/>
                <w:sz w:val="36"/>
                <w:szCs w:val="36"/>
                <w:u w:val="none"/>
                <w:lang w:val="en-US" w:eastAsia="zh-CN" w:bidi="ar"/>
              </w:rPr>
              <w:t>表5  国际影响表</w:t>
            </w:r>
            <w:bookmarkEnd w:id="191"/>
          </w:p>
        </w:tc>
      </w:tr>
      <w:tr w14:paraId="65E0C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76634978">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699" w:type="dxa"/>
            <w:tcBorders>
              <w:top w:val="single" w:color="000000" w:sz="8" w:space="0"/>
              <w:left w:val="single" w:color="000000" w:sz="4" w:space="0"/>
              <w:bottom w:val="single" w:color="000000" w:sz="8" w:space="0"/>
              <w:right w:val="single" w:color="000000" w:sz="4" w:space="0"/>
            </w:tcBorders>
            <w:shd w:val="clear" w:color="auto" w:fill="auto"/>
            <w:vAlign w:val="center"/>
          </w:tcPr>
          <w:p w14:paraId="547D96F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12523B0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7D88A03E">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72" w:type="dxa"/>
            <w:tcBorders>
              <w:top w:val="single" w:color="000000" w:sz="8" w:space="0"/>
              <w:left w:val="single" w:color="000000" w:sz="4" w:space="0"/>
              <w:bottom w:val="single" w:color="000000" w:sz="8" w:space="0"/>
              <w:right w:val="single" w:color="000000" w:sz="8" w:space="0"/>
            </w:tcBorders>
            <w:shd w:val="clear" w:color="auto" w:fill="auto"/>
            <w:vAlign w:val="center"/>
          </w:tcPr>
          <w:p w14:paraId="290A04BC">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r>
      <w:tr w14:paraId="1C1EE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1303F85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99"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6ABB5A0">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开发并被国外采用的职业教育标准、资源、装备数量</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DF72B4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40A5F2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8" w:space="0"/>
              <w:left w:val="single" w:color="000000" w:sz="4" w:space="0"/>
              <w:bottom w:val="single" w:color="000000" w:sz="4" w:space="0"/>
              <w:right w:val="single" w:color="000000" w:sz="8" w:space="0"/>
            </w:tcBorders>
            <w:shd w:val="clear" w:color="auto" w:fill="auto"/>
            <w:vAlign w:val="center"/>
          </w:tcPr>
          <w:p w14:paraId="2ED8FC8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2178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EF97A2B">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D720D">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其中：标准数量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D544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11A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6323D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7E5AB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C8437F5">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ACDAA">
            <w:pPr>
              <w:keepNext w:val="0"/>
              <w:keepLines w:val="0"/>
              <w:widowControl/>
              <w:suppressLineNumbers w:val="0"/>
              <w:jc w:val="left"/>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专业标准数量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82C9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F295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06C51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FA77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AD75869">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BF85B">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课程标准数量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EE17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9F93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BFCB5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34060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E7272AB">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36F50">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资源数量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FBC9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E905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78B28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54D4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DF456FA">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BCD6">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装备数量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9548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37B7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4E344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BE77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288B538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DE7B">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在国外开办学校数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2D7F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9A8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6A65D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r>
      <w:tr w14:paraId="40B62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0AD97DF">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A0FEC">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其中：专业数量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D320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3324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A9396C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r>
      <w:tr w14:paraId="4F536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FFCABD4">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BF3F8">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在校生数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4D7A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DD0F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F694F5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r>
      <w:tr w14:paraId="6914B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DF727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B78D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接收国外留学生专业数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8B7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E741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3E62E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F2CB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4E271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5450E">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接收国外留学生人数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1E1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809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9A104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8C02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FA481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D3328">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接收国外访学教师人数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45DB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E560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91D0A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54BA5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1EA44B5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96F6">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中外合作办学专业数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5589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B16E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B0D02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6BA2E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F57C039">
            <w:pPr>
              <w:jc w:val="center"/>
              <w:outlineLvl w:val="9"/>
              <w:rPr>
                <w:rFonts w:hint="eastAsia" w:ascii="宋体" w:hAnsi="宋体" w:eastAsia="宋体" w:cs="宋体"/>
                <w:i w:val="0"/>
                <w:iCs w:val="0"/>
                <w:color w:val="000000"/>
                <w:sz w:val="24"/>
                <w:szCs w:val="24"/>
                <w:u w:val="none"/>
              </w:rPr>
            </w:pP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EB4FE">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其中：在校生数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89C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EE50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175C2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3B520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A9016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7EAA">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专任教师赴国外指导和开展培训时间</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B94C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人日</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8B81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74E06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80FE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5C298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928C6">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在国外组织担任职务的专任教师人数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C05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AEDD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A145D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2B4E0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7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378305D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699" w:type="dxa"/>
            <w:tcBorders>
              <w:top w:val="single" w:color="000000" w:sz="4" w:space="0"/>
              <w:left w:val="single" w:color="000000" w:sz="4" w:space="0"/>
              <w:bottom w:val="single" w:color="000000" w:sz="8" w:space="0"/>
              <w:right w:val="single" w:color="000000" w:sz="4" w:space="0"/>
            </w:tcBorders>
            <w:shd w:val="clear" w:color="auto" w:fill="auto"/>
            <w:vAlign w:val="center"/>
          </w:tcPr>
          <w:p w14:paraId="0568EEF2">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国外技能大赛获奖数量</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6AA752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541C2F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8" w:space="0"/>
              <w:right w:val="single" w:color="000000" w:sz="8" w:space="0"/>
            </w:tcBorders>
            <w:shd w:val="clear" w:color="auto" w:fill="auto"/>
            <w:noWrap/>
            <w:vAlign w:val="center"/>
          </w:tcPr>
          <w:p w14:paraId="2D7654E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bl>
    <w:p w14:paraId="16392547">
      <w:pPr>
        <w:spacing w:line="580" w:lineRule="exact"/>
        <w:ind w:firstLine="960" w:firstLineChars="300"/>
        <w:outlineLvl w:val="9"/>
        <w:rPr>
          <w:rFonts w:hint="eastAsia" w:ascii="仿宋_GB2312" w:hAnsi="Yu Mincho Light" w:eastAsia="仿宋_GB2312" w:cs="Yu Mincho Light"/>
          <w:sz w:val="32"/>
        </w:rPr>
      </w:pPr>
    </w:p>
    <w:p w14:paraId="3844E6FD">
      <w:pPr>
        <w:spacing w:line="580" w:lineRule="exact"/>
        <w:ind w:firstLine="960" w:firstLineChars="300"/>
        <w:outlineLvl w:val="9"/>
        <w:rPr>
          <w:rFonts w:hint="eastAsia" w:ascii="仿宋_GB2312" w:hAnsi="Yu Mincho Light" w:eastAsia="仿宋_GB2312" w:cs="Yu Mincho Light"/>
          <w:sz w:val="32"/>
          <w:lang w:val="en-US" w:eastAsia="zh-CN"/>
        </w:rPr>
        <w:sectPr>
          <w:pgSz w:w="11906" w:h="16838"/>
          <w:pgMar w:top="1100" w:right="1800" w:bottom="1157" w:left="1800" w:header="851" w:footer="992" w:gutter="0"/>
          <w:cols w:space="425" w:num="1"/>
          <w:docGrid w:type="lines" w:linePitch="312" w:charSpace="0"/>
        </w:sectPr>
      </w:pPr>
    </w:p>
    <w:p w14:paraId="65142800">
      <w:pPr>
        <w:spacing w:line="580" w:lineRule="exact"/>
        <w:ind w:firstLine="960" w:firstLineChars="300"/>
        <w:outlineLvl w:val="9"/>
        <w:rPr>
          <w:rFonts w:hint="eastAsia" w:ascii="仿宋_GB2312" w:hAnsi="Yu Mincho Light" w:eastAsia="仿宋_GB2312" w:cs="Yu Mincho Light"/>
          <w:sz w:val="32"/>
          <w:lang w:val="en-US" w:eastAsia="zh-CN"/>
        </w:rPr>
      </w:pPr>
    </w:p>
    <w:tbl>
      <w:tblPr>
        <w:tblStyle w:val="19"/>
        <w:tblW w:w="86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4673"/>
        <w:gridCol w:w="972"/>
        <w:gridCol w:w="1056"/>
        <w:gridCol w:w="972"/>
      </w:tblGrid>
      <w:tr w14:paraId="11216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jc w:val="center"/>
        </w:trPr>
        <w:tc>
          <w:tcPr>
            <w:tcW w:w="8645" w:type="dxa"/>
            <w:gridSpan w:val="5"/>
            <w:tcBorders>
              <w:top w:val="nil"/>
              <w:left w:val="nil"/>
              <w:bottom w:val="nil"/>
              <w:right w:val="nil"/>
            </w:tcBorders>
            <w:shd w:val="clear" w:color="auto" w:fill="auto"/>
            <w:noWrap/>
            <w:vAlign w:val="center"/>
          </w:tcPr>
          <w:p w14:paraId="0388E322">
            <w:pPr>
              <w:keepNext w:val="0"/>
              <w:keepLines w:val="0"/>
              <w:widowControl/>
              <w:suppressLineNumbers w:val="0"/>
              <w:jc w:val="center"/>
              <w:textAlignment w:val="center"/>
              <w:outlineLvl w:val="1"/>
              <w:rPr>
                <w:rFonts w:hint="eastAsia" w:ascii="宋体" w:hAnsi="宋体" w:eastAsia="宋体" w:cs="宋体"/>
                <w:b/>
                <w:bCs/>
                <w:i w:val="0"/>
                <w:iCs w:val="0"/>
                <w:color w:val="000000"/>
                <w:sz w:val="36"/>
                <w:szCs w:val="36"/>
                <w:u w:val="none"/>
              </w:rPr>
            </w:pPr>
            <w:bookmarkStart w:id="192" w:name="_Toc26796"/>
            <w:r>
              <w:rPr>
                <w:rFonts w:hint="eastAsia" w:ascii="宋体" w:hAnsi="宋体" w:eastAsia="宋体" w:cs="宋体"/>
                <w:b/>
                <w:bCs/>
                <w:i w:val="0"/>
                <w:iCs w:val="0"/>
                <w:color w:val="000000"/>
                <w:kern w:val="0"/>
                <w:sz w:val="36"/>
                <w:szCs w:val="36"/>
                <w:u w:val="none"/>
                <w:lang w:val="en-US" w:eastAsia="zh-CN" w:bidi="ar"/>
              </w:rPr>
              <w:t>表6  落实政策表</w:t>
            </w:r>
            <w:bookmarkEnd w:id="192"/>
          </w:p>
        </w:tc>
      </w:tr>
      <w:tr w14:paraId="474FC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4" w:hRule="atLeast"/>
          <w:jc w:val="center"/>
        </w:trPr>
        <w:tc>
          <w:tcPr>
            <w:tcW w:w="972" w:type="dxa"/>
            <w:tcBorders>
              <w:top w:val="single" w:color="000000" w:sz="8" w:space="0"/>
              <w:left w:val="single" w:color="000000" w:sz="8" w:space="0"/>
              <w:bottom w:val="single" w:color="000000" w:sz="8" w:space="0"/>
              <w:right w:val="single" w:color="000000" w:sz="4" w:space="0"/>
            </w:tcBorders>
            <w:shd w:val="clear" w:color="auto" w:fill="auto"/>
            <w:vAlign w:val="center"/>
          </w:tcPr>
          <w:p w14:paraId="07F0FDEA">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4685" w:type="dxa"/>
            <w:tcBorders>
              <w:top w:val="single" w:color="000000" w:sz="8" w:space="0"/>
              <w:left w:val="single" w:color="000000" w:sz="4" w:space="0"/>
              <w:bottom w:val="single" w:color="000000" w:sz="8" w:space="0"/>
              <w:right w:val="single" w:color="000000" w:sz="4" w:space="0"/>
            </w:tcBorders>
            <w:shd w:val="clear" w:color="auto" w:fill="auto"/>
            <w:vAlign w:val="center"/>
          </w:tcPr>
          <w:p w14:paraId="5957A8B4">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指标</w:t>
            </w:r>
          </w:p>
        </w:tc>
        <w:tc>
          <w:tcPr>
            <w:tcW w:w="972" w:type="dxa"/>
            <w:tcBorders>
              <w:top w:val="single" w:color="000000" w:sz="8" w:space="0"/>
              <w:left w:val="single" w:color="000000" w:sz="4" w:space="0"/>
              <w:bottom w:val="single" w:color="000000" w:sz="8" w:space="0"/>
              <w:right w:val="single" w:color="000000" w:sz="4" w:space="0"/>
            </w:tcBorders>
            <w:shd w:val="clear" w:color="auto" w:fill="auto"/>
            <w:vAlign w:val="center"/>
          </w:tcPr>
          <w:p w14:paraId="22C7C442">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044" w:type="dxa"/>
            <w:tcBorders>
              <w:top w:val="single" w:color="000000" w:sz="8" w:space="0"/>
              <w:left w:val="single" w:color="000000" w:sz="4" w:space="0"/>
              <w:bottom w:val="single" w:color="000000" w:sz="8" w:space="0"/>
              <w:right w:val="single" w:color="000000" w:sz="4" w:space="0"/>
            </w:tcBorders>
            <w:shd w:val="clear" w:color="auto" w:fill="auto"/>
            <w:vAlign w:val="center"/>
          </w:tcPr>
          <w:p w14:paraId="7BE6691A">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w:t>
            </w:r>
          </w:p>
        </w:tc>
        <w:tc>
          <w:tcPr>
            <w:tcW w:w="972" w:type="dxa"/>
            <w:tcBorders>
              <w:top w:val="single" w:color="000000" w:sz="8" w:space="0"/>
              <w:left w:val="single" w:color="000000" w:sz="4" w:space="0"/>
              <w:bottom w:val="single" w:color="000000" w:sz="8" w:space="0"/>
              <w:right w:val="single" w:color="000000" w:sz="8" w:space="0"/>
            </w:tcBorders>
            <w:shd w:val="clear" w:color="auto" w:fill="auto"/>
            <w:vAlign w:val="center"/>
          </w:tcPr>
          <w:p w14:paraId="012C8B1D">
            <w:pPr>
              <w:keepNext w:val="0"/>
              <w:keepLines w:val="0"/>
              <w:widowControl/>
              <w:suppressLineNumbers w:val="0"/>
              <w:jc w:val="center"/>
              <w:textAlignment w:val="center"/>
              <w:outlineLvl w:val="9"/>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2025年</w:t>
            </w:r>
          </w:p>
        </w:tc>
      </w:tr>
      <w:tr w14:paraId="578EE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8" w:space="0"/>
              <w:left w:val="single" w:color="000000" w:sz="8" w:space="0"/>
              <w:bottom w:val="single" w:color="000000" w:sz="4" w:space="0"/>
              <w:right w:val="single" w:color="000000" w:sz="4" w:space="0"/>
            </w:tcBorders>
            <w:shd w:val="clear" w:color="auto" w:fill="auto"/>
            <w:vAlign w:val="center"/>
          </w:tcPr>
          <w:p w14:paraId="405D21A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68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3765A18">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全日制在校生人数*</w:t>
            </w:r>
          </w:p>
        </w:tc>
        <w:tc>
          <w:tcPr>
            <w:tcW w:w="97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373833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D7A446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3028</w:t>
            </w:r>
          </w:p>
        </w:tc>
        <w:tc>
          <w:tcPr>
            <w:tcW w:w="972" w:type="dxa"/>
            <w:tcBorders>
              <w:top w:val="single" w:color="000000" w:sz="8" w:space="0"/>
              <w:left w:val="single" w:color="000000" w:sz="4" w:space="0"/>
              <w:bottom w:val="single" w:color="000000" w:sz="4" w:space="0"/>
              <w:right w:val="single" w:color="000000" w:sz="8" w:space="0"/>
            </w:tcBorders>
            <w:shd w:val="clear" w:color="auto" w:fill="auto"/>
            <w:vAlign w:val="center"/>
          </w:tcPr>
          <w:p w14:paraId="228D10B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2829</w:t>
            </w:r>
          </w:p>
        </w:tc>
      </w:tr>
      <w:tr w14:paraId="20A19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7A3BC99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6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AD7BCA">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年生均财政拨款水平</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2339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元</w:t>
            </w:r>
          </w:p>
        </w:tc>
        <w:tc>
          <w:tcPr>
            <w:tcW w:w="10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0C662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4936.62</w:t>
            </w:r>
          </w:p>
        </w:tc>
        <w:tc>
          <w:tcPr>
            <w:tcW w:w="972" w:type="dxa"/>
            <w:vMerge w:val="restart"/>
            <w:tcBorders>
              <w:top w:val="single" w:color="000000" w:sz="4" w:space="0"/>
              <w:left w:val="single" w:color="000000" w:sz="4" w:space="0"/>
              <w:bottom w:val="single" w:color="000000" w:sz="4" w:space="0"/>
              <w:right w:val="single" w:color="000000" w:sz="8" w:space="0"/>
            </w:tcBorders>
            <w:shd w:val="clear" w:color="auto" w:fill="auto"/>
            <w:vAlign w:val="center"/>
          </w:tcPr>
          <w:p w14:paraId="7625206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4834</w:t>
            </w:r>
          </w:p>
        </w:tc>
      </w:tr>
      <w:tr w14:paraId="70F20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D4DAD69">
            <w:pPr>
              <w:jc w:val="center"/>
              <w:outlineLvl w:val="9"/>
              <w:rPr>
                <w:rFonts w:hint="eastAsia" w:ascii="宋体" w:hAnsi="宋体" w:eastAsia="宋体" w:cs="宋体"/>
                <w:i w:val="0"/>
                <w:iCs w:val="0"/>
                <w:color w:val="000000"/>
                <w:sz w:val="24"/>
                <w:szCs w:val="24"/>
                <w:u w:val="none"/>
              </w:rPr>
            </w:pPr>
          </w:p>
        </w:tc>
        <w:tc>
          <w:tcPr>
            <w:tcW w:w="46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B90C3">
            <w:pPr>
              <w:jc w:val="both"/>
              <w:outlineLvl w:val="9"/>
              <w:rPr>
                <w:rFonts w:hint="eastAsia" w:ascii="宋体" w:hAnsi="宋体" w:eastAsia="宋体" w:cs="宋体"/>
                <w:i w:val="0"/>
                <w:iCs w:val="0"/>
                <w:color w:val="000000"/>
                <w:sz w:val="24"/>
                <w:szCs w:val="24"/>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E0585">
            <w:pPr>
              <w:jc w:val="center"/>
              <w:outlineLvl w:val="9"/>
              <w:rPr>
                <w:rFonts w:hint="eastAsia" w:ascii="宋体" w:hAnsi="宋体" w:eastAsia="宋体" w:cs="宋体"/>
                <w:i w:val="0"/>
                <w:iCs w:val="0"/>
                <w:color w:val="000000"/>
                <w:sz w:val="24"/>
                <w:szCs w:val="24"/>
                <w:u w:val="none"/>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AA9FD0">
            <w:pPr>
              <w:jc w:val="center"/>
              <w:outlineLvl w:val="9"/>
              <w:rPr>
                <w:rFonts w:hint="eastAsia" w:ascii="宋体" w:hAnsi="宋体" w:eastAsia="宋体" w:cs="宋体"/>
                <w:i w:val="0"/>
                <w:iCs w:val="0"/>
                <w:color w:val="000000"/>
                <w:sz w:val="24"/>
                <w:szCs w:val="24"/>
                <w:u w:val="none"/>
              </w:rPr>
            </w:pPr>
          </w:p>
        </w:tc>
        <w:tc>
          <w:tcPr>
            <w:tcW w:w="972" w:type="dxa"/>
            <w:vMerge w:val="continue"/>
            <w:tcBorders>
              <w:top w:val="single" w:color="000000" w:sz="4" w:space="0"/>
              <w:left w:val="single" w:color="000000" w:sz="4" w:space="0"/>
              <w:bottom w:val="single" w:color="000000" w:sz="4" w:space="0"/>
              <w:right w:val="single" w:color="000000" w:sz="8" w:space="0"/>
            </w:tcBorders>
            <w:shd w:val="clear" w:color="auto" w:fill="auto"/>
            <w:vAlign w:val="center"/>
          </w:tcPr>
          <w:p w14:paraId="089A0A3A">
            <w:pPr>
              <w:jc w:val="center"/>
              <w:outlineLvl w:val="9"/>
              <w:rPr>
                <w:rFonts w:hint="eastAsia" w:ascii="宋体" w:hAnsi="宋体" w:eastAsia="宋体" w:cs="宋体"/>
                <w:i w:val="0"/>
                <w:iCs w:val="0"/>
                <w:color w:val="000000"/>
                <w:sz w:val="24"/>
                <w:szCs w:val="24"/>
                <w:u w:val="none"/>
              </w:rPr>
            </w:pPr>
          </w:p>
        </w:tc>
      </w:tr>
      <w:tr w14:paraId="5A6AD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7CD44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40800">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年财政专项经费*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EC02A">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1619">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98</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E32AD6">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58</w:t>
            </w:r>
          </w:p>
        </w:tc>
      </w:tr>
      <w:tr w14:paraId="685F3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24CA04D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8AD1">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教职工额定编制数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C253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79C65">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209</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65DBA0">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209</w:t>
            </w:r>
          </w:p>
        </w:tc>
      </w:tr>
      <w:tr w14:paraId="1D691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96A3BBD">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9358A">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教职工总数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F003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A7DC8">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198</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8E868B">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186</w:t>
            </w:r>
          </w:p>
        </w:tc>
      </w:tr>
      <w:tr w14:paraId="1EBD8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5F9A17F">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2CC97">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其中：专任教师总数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0E00F">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1840">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191</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03DBA2">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179</w:t>
            </w:r>
          </w:p>
        </w:tc>
      </w:tr>
      <w:tr w14:paraId="4AAC8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279B97B">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6B9A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思政课教师数*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8BF8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D39F9">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1C5EC2">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r>
      <w:tr w14:paraId="36537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68E5BAA1">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56587">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体育课专任教师数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5EC8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7F4E6">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9EB64B">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r>
      <w:tr w14:paraId="50330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0EE82E53">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773C">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美育课专任教师数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C0B2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AC832">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84CEA5">
            <w:pPr>
              <w:keepNext w:val="0"/>
              <w:keepLines w:val="0"/>
              <w:widowControl/>
              <w:suppressLineNumbers w:val="0"/>
              <w:jc w:val="center"/>
              <w:textAlignment w:val="center"/>
              <w:outlineLvl w:val="9"/>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r>
      <w:tr w14:paraId="316B5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DED7DDA">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11A5">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辅导员人数*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8A64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0774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18D01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仅高职填报</w:t>
            </w:r>
          </w:p>
        </w:tc>
      </w:tr>
      <w:tr w14:paraId="4247F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43079099">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E54D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班主任人数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9157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8CA6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37F4C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w:t>
            </w:r>
          </w:p>
        </w:tc>
      </w:tr>
      <w:tr w14:paraId="3EB40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562EE37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2889B">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参加国家学生体质健康标准测试人数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19A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80350">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3157</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89912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2992</w:t>
            </w:r>
          </w:p>
        </w:tc>
      </w:tr>
      <w:tr w14:paraId="6528E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73C85DDE">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5015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其中：学生体质测评合格率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FB49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DE5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7E594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99.3</w:t>
            </w:r>
          </w:p>
        </w:tc>
      </w:tr>
      <w:tr w14:paraId="28B83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71EE01">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D5EB2">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职业技能等级证书（含职业资格证书）获取人数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ED51C">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7074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9E956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549</w:t>
            </w:r>
          </w:p>
        </w:tc>
      </w:tr>
      <w:tr w14:paraId="1446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64BE7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68CB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企业提供的校内实践教学设备值*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5A2B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7627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CA33E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w:t>
            </w:r>
          </w:p>
        </w:tc>
      </w:tr>
      <w:tr w14:paraId="51469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DDD63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024DE">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与企业共建开放型区域产教融合实践中心数量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F5F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FF5E3">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7C794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10339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48CE391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BB9BF">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聘请行业导师人数*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FE64">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E733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53045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29910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1096BB32">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E56E4">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其中：聘请大国工匠、劳动模范人数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61C6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38F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F6055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13535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A2C282C">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277A">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行业导师年课时总量*</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5DC6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课时</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FEE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3861C2">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24880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36923291">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9AC9">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年支付行业导师课酬</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4C5E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523FB">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0.53</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6F78A6">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0.53</w:t>
            </w:r>
          </w:p>
        </w:tc>
      </w:tr>
      <w:tr w14:paraId="599D1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7F2ABEAD">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4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F48D4">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年实习专项经费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ED757">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E807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15.404</w:t>
            </w:r>
          </w:p>
        </w:tc>
        <w:tc>
          <w:tcPr>
            <w:tcW w:w="972"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B2735E">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r w14:paraId="0406F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jc w:val="center"/>
        </w:trPr>
        <w:tc>
          <w:tcPr>
            <w:tcW w:w="972"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0CC4908C">
            <w:pPr>
              <w:jc w:val="center"/>
              <w:outlineLvl w:val="9"/>
              <w:rPr>
                <w:rFonts w:hint="eastAsia" w:ascii="宋体" w:hAnsi="宋体" w:eastAsia="宋体" w:cs="宋体"/>
                <w:i w:val="0"/>
                <w:iCs w:val="0"/>
                <w:color w:val="000000"/>
                <w:sz w:val="24"/>
                <w:szCs w:val="24"/>
                <w:u w:val="none"/>
              </w:rPr>
            </w:pPr>
          </w:p>
        </w:tc>
        <w:tc>
          <w:tcPr>
            <w:tcW w:w="4685"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E20EA55">
            <w:pPr>
              <w:keepNext w:val="0"/>
              <w:keepLines w:val="0"/>
              <w:widowControl/>
              <w:suppressLineNumbers w:val="0"/>
              <w:jc w:val="both"/>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其中：年实习责任保险经费</w:t>
            </w:r>
          </w:p>
        </w:tc>
        <w:tc>
          <w:tcPr>
            <w:tcW w:w="97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0D19168">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万元</w:t>
            </w:r>
          </w:p>
        </w:tc>
        <w:tc>
          <w:tcPr>
            <w:tcW w:w="1044"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F347AE5">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1.9597</w:t>
            </w:r>
          </w:p>
        </w:tc>
        <w:tc>
          <w:tcPr>
            <w:tcW w:w="972"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D6AE7E9">
            <w:pPr>
              <w:keepNext w:val="0"/>
              <w:keepLines w:val="0"/>
              <w:widowControl/>
              <w:suppressLineNumbers w:val="0"/>
              <w:jc w:val="center"/>
              <w:textAlignment w:val="center"/>
              <w:outlineLvl w:val="9"/>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r>
    </w:tbl>
    <w:p w14:paraId="5C81D76B">
      <w:pPr>
        <w:keepNext w:val="0"/>
        <w:keepLines w:val="0"/>
        <w:pageBreakBefore w:val="0"/>
        <w:kinsoku/>
        <w:wordWrap/>
        <w:overflowPunct/>
        <w:topLinePunct w:val="0"/>
        <w:autoSpaceDE/>
        <w:autoSpaceDN/>
        <w:bidi w:val="0"/>
        <w:adjustRightInd/>
        <w:snapToGrid/>
        <w:spacing w:line="500" w:lineRule="exact"/>
        <w:textAlignment w:val="auto"/>
        <w:outlineLvl w:val="9"/>
        <w:rPr>
          <w:rFonts w:hint="eastAsia" w:ascii="仿宋_GB2312" w:hAnsi="Yu Mincho Light" w:eastAsia="仿宋_GB2312" w:cs="Yu Mincho Light"/>
          <w:sz w:val="32"/>
        </w:rPr>
      </w:pPr>
    </w:p>
    <w:sectPr>
      <w:pgSz w:w="11906" w:h="16838"/>
      <w:pgMar w:top="1100" w:right="1800" w:bottom="115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D840643-CB85-485B-9236-940DB553D2E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_GB2312">
    <w:panose1 w:val="02010609030101010101"/>
    <w:charset w:val="86"/>
    <w:family w:val="modern"/>
    <w:pitch w:val="default"/>
    <w:sig w:usb0="00000001" w:usb1="080E0000" w:usb2="00000000" w:usb3="00000000" w:csb0="00040000" w:csb1="00000000"/>
    <w:embedRegular r:id="rId2" w:fontKey="{2D42E0AD-976D-4C8F-B1F8-7712F12B63FB}"/>
  </w:font>
  <w:font w:name="微软雅黑">
    <w:panose1 w:val="020B0503020204020204"/>
    <w:charset w:val="86"/>
    <w:family w:val="auto"/>
    <w:pitch w:val="default"/>
    <w:sig w:usb0="80000287" w:usb1="280F3C52" w:usb2="00000016" w:usb3="00000000" w:csb0="0004001F" w:csb1="00000000"/>
    <w:embedRegular r:id="rId3" w:fontKey="{48061938-ACC1-4E74-8E73-B11D28067A4D}"/>
  </w:font>
  <w:font w:name="仿宋_GB2312">
    <w:panose1 w:val="02010609030101010101"/>
    <w:charset w:val="86"/>
    <w:family w:val="modern"/>
    <w:pitch w:val="default"/>
    <w:sig w:usb0="00000001" w:usb1="080E0000" w:usb2="00000000" w:usb3="00000000" w:csb0="00040000" w:csb1="00000000"/>
    <w:embedRegular r:id="rId4" w:fontKey="{AB18F0F2-CAA1-4BF0-90CF-A7376372412A}"/>
  </w:font>
  <w:font w:name="仿宋">
    <w:panose1 w:val="02010609060101010101"/>
    <w:charset w:val="86"/>
    <w:family w:val="modern"/>
    <w:pitch w:val="default"/>
    <w:sig w:usb0="800002BF" w:usb1="38CF7CFA" w:usb2="00000016" w:usb3="00000000" w:csb0="00040001" w:csb1="00000000"/>
    <w:embedRegular r:id="rId5" w:fontKey="{ED6AC3B2-8A1C-4E19-9EF8-34256FA2F9B4}"/>
  </w:font>
  <w:font w:name="楷体">
    <w:panose1 w:val="02010609060101010101"/>
    <w:charset w:val="86"/>
    <w:family w:val="auto"/>
    <w:pitch w:val="default"/>
    <w:sig w:usb0="800002BF" w:usb1="38CF7CFA" w:usb2="00000016" w:usb3="00000000" w:csb0="00040001" w:csb1="00000000"/>
    <w:embedRegular r:id="rId6" w:fontKey="{F7B0E39B-2CC2-40B4-8624-63F396FCA419}"/>
  </w:font>
  <w:font w:name="华文新魏">
    <w:panose1 w:val="02010800040101010101"/>
    <w:charset w:val="86"/>
    <w:family w:val="auto"/>
    <w:pitch w:val="default"/>
    <w:sig w:usb0="00000001" w:usb1="080F0000" w:usb2="00000000" w:usb3="00000000" w:csb0="00040000" w:csb1="00000000"/>
    <w:embedRegular r:id="rId7" w:fontKey="{C0831DC1-48C5-4623-BCAA-C0F00FF88C73}"/>
  </w:font>
  <w:font w:name="Yu Mincho Light">
    <w:altName w:val="MS Mincho"/>
    <w:panose1 w:val="00000000000000000000"/>
    <w:charset w:val="80"/>
    <w:family w:val="roman"/>
    <w:pitch w:val="default"/>
    <w:sig w:usb0="00000000" w:usb1="00000000" w:usb2="00000012" w:usb3="00000000" w:csb0="0002009F" w:csb1="00000000"/>
    <w:embedRegular r:id="rId8" w:fontKey="{F5496308-CC1E-450B-9772-69C16DAE3ED9}"/>
  </w:font>
  <w:font w:name="MS Mincho">
    <w:panose1 w:val="02020609040205080304"/>
    <w:charset w:val="80"/>
    <w:family w:val="auto"/>
    <w:pitch w:val="default"/>
    <w:sig w:usb0="E00002FF" w:usb1="6AC7FDFB" w:usb2="00000012" w:usb3="00000000" w:csb0="4002009F" w:csb1="DFD70000"/>
  </w:font>
  <w:font w:name="华文楷体">
    <w:panose1 w:val="02010600040101010101"/>
    <w:charset w:val="86"/>
    <w:family w:val="auto"/>
    <w:pitch w:val="default"/>
    <w:sig w:usb0="00000287" w:usb1="080F0000" w:usb2="00000000" w:usb3="00000000" w:csb0="0004009F" w:csb1="DFD70000"/>
    <w:embedRegular r:id="rId9" w:fontKey="{2B531195-F6A0-471C-A9AC-C2315B3BFAF8}"/>
  </w:font>
  <w:font w:name="方正仿宋_GB2312">
    <w:panose1 w:val="02000000000000000000"/>
    <w:charset w:val="86"/>
    <w:family w:val="auto"/>
    <w:pitch w:val="default"/>
    <w:sig w:usb0="A00002BF" w:usb1="184F6CFA" w:usb2="00000012" w:usb3="00000000" w:csb0="00040001" w:csb1="00000000"/>
    <w:embedRegular r:id="rId10" w:fontKey="{531A51B0-A340-4CB7-8A87-5F6B3EE86B5F}"/>
  </w:font>
  <w:font w:name="WPSEMBED2">
    <w:panose1 w:val="02010609030101010101"/>
    <w:charset w:val="86"/>
    <w:family w:val="auto"/>
    <w:pitch w:val="default"/>
    <w:sig w:usb0="00000001" w:usb1="080E0000" w:usb2="00000000" w:usb3="00000000" w:csb0="00040000" w:csb1="00000000"/>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FB729">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622307">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A622307">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F65C4">
    <w:pPr>
      <w:pStyle w:val="13"/>
      <w:jc w:val="distribute"/>
      <w:rPr>
        <w:rFonts w:hint="eastAsia" w:ascii="宋体" w:hAnsi="宋体" w:eastAsia="宋体"/>
        <w:b/>
        <w:bCs/>
        <w:lang w:eastAsia="zh-CN"/>
      </w:rPr>
    </w:pPr>
    <w:r>
      <w:rPr>
        <w:rFonts w:hint="eastAsia"/>
      </w:rPr>
      <w:drawing>
        <wp:inline distT="0" distB="0" distL="0" distR="0">
          <wp:extent cx="1343025" cy="234950"/>
          <wp:effectExtent l="0" t="0" r="0" b="0"/>
          <wp:docPr id="173571246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712469" name="图片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399404" cy="244921"/>
                  </a:xfrm>
                  <a:prstGeom prst="rect">
                    <a:avLst/>
                  </a:prstGeom>
                  <a:noFill/>
                  <a:ln>
                    <a:noFill/>
                  </a:ln>
                </pic:spPr>
              </pic:pic>
            </a:graphicData>
          </a:graphic>
        </wp:inline>
      </w:drawing>
    </w:r>
    <w:r>
      <w:rPr>
        <w:rFonts w:hint="eastAsia"/>
      </w:rPr>
      <w:t xml:space="preserve">                                         </w:t>
    </w:r>
    <w:r>
      <w:rPr>
        <w:rFonts w:hint="eastAsia"/>
        <w:lang w:val="en-US" w:eastAsia="zh-CN"/>
      </w:rPr>
      <w:t xml:space="preserve"> </w:t>
    </w:r>
    <w:r>
      <w:rPr>
        <w:rFonts w:hint="eastAsia"/>
      </w:rPr>
      <w:t xml:space="preserve"> </w:t>
    </w:r>
    <w:r>
      <w:rPr>
        <w:rFonts w:hint="eastAsia" w:ascii="宋体" w:hAnsi="宋体" w:eastAsia="宋体"/>
        <w:b/>
        <w:bCs/>
      </w:rPr>
      <w:t>2025 年</w:t>
    </w:r>
    <w:r>
      <w:rPr>
        <w:rFonts w:hint="eastAsia" w:ascii="宋体" w:hAnsi="宋体" w:eastAsia="宋体"/>
        <w:b/>
        <w:bCs/>
        <w:lang w:eastAsia="zh-CN"/>
      </w:rPr>
      <w:t>度质量报告</w:t>
    </w:r>
  </w:p>
  <w:p w14:paraId="4E3166D0">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0868C3"/>
    <w:multiLevelType w:val="singleLevel"/>
    <w:tmpl w:val="D90868C3"/>
    <w:lvl w:ilvl="0" w:tentative="0">
      <w:start w:val="7"/>
      <w:numFmt w:val="decimal"/>
      <w:suff w:val="space"/>
      <w:lvlText w:val="%1."/>
      <w:lvlJc w:val="left"/>
    </w:lvl>
  </w:abstractNum>
  <w:abstractNum w:abstractNumId="1">
    <w:nsid w:val="7029B59C"/>
    <w:multiLevelType w:val="singleLevel"/>
    <w:tmpl w:val="7029B59C"/>
    <w:lvl w:ilvl="0" w:tentative="0">
      <w:start w:val="3"/>
      <w:numFmt w:val="chineseCounting"/>
      <w:lvlText w:val="(%1)"/>
      <w:lvlJc w:val="left"/>
      <w:pPr>
        <w:tabs>
          <w:tab w:val="left" w:pos="312"/>
        </w:tabs>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UzYjkxMWJjMWIyOTMzZjEwZjY1YTlhZDI1NDE5NTEifQ=="/>
  </w:docVars>
  <w:rsids>
    <w:rsidRoot w:val="7CC954EE"/>
    <w:rsid w:val="00032121"/>
    <w:rsid w:val="000D244C"/>
    <w:rsid w:val="000E713F"/>
    <w:rsid w:val="001945DA"/>
    <w:rsid w:val="001A2BA9"/>
    <w:rsid w:val="001B4EF8"/>
    <w:rsid w:val="00490028"/>
    <w:rsid w:val="00597F77"/>
    <w:rsid w:val="008D7882"/>
    <w:rsid w:val="00911786"/>
    <w:rsid w:val="009448B2"/>
    <w:rsid w:val="00A44A32"/>
    <w:rsid w:val="00AD10E6"/>
    <w:rsid w:val="00B72B89"/>
    <w:rsid w:val="00BF7ADD"/>
    <w:rsid w:val="00CF6390"/>
    <w:rsid w:val="00EF0252"/>
    <w:rsid w:val="00FC21C7"/>
    <w:rsid w:val="015409E0"/>
    <w:rsid w:val="015C3009"/>
    <w:rsid w:val="03BE4735"/>
    <w:rsid w:val="04CE13A8"/>
    <w:rsid w:val="04DC2746"/>
    <w:rsid w:val="05687D0D"/>
    <w:rsid w:val="058A5E9A"/>
    <w:rsid w:val="079A7D9A"/>
    <w:rsid w:val="0A4A6CDB"/>
    <w:rsid w:val="0AB45767"/>
    <w:rsid w:val="0DBC2B01"/>
    <w:rsid w:val="0E1E42AB"/>
    <w:rsid w:val="0E492016"/>
    <w:rsid w:val="0E5E47D4"/>
    <w:rsid w:val="0F0C7078"/>
    <w:rsid w:val="0F67392A"/>
    <w:rsid w:val="1032010A"/>
    <w:rsid w:val="108B7452"/>
    <w:rsid w:val="11B12A00"/>
    <w:rsid w:val="11F254F3"/>
    <w:rsid w:val="126B2BAF"/>
    <w:rsid w:val="126B3E0D"/>
    <w:rsid w:val="127557DC"/>
    <w:rsid w:val="13573133"/>
    <w:rsid w:val="13577619"/>
    <w:rsid w:val="14296185"/>
    <w:rsid w:val="14A568C3"/>
    <w:rsid w:val="14C87B9D"/>
    <w:rsid w:val="14D41205"/>
    <w:rsid w:val="152D6842"/>
    <w:rsid w:val="15761F97"/>
    <w:rsid w:val="162C1979"/>
    <w:rsid w:val="167F0DCF"/>
    <w:rsid w:val="16E72B13"/>
    <w:rsid w:val="1721105F"/>
    <w:rsid w:val="17317B90"/>
    <w:rsid w:val="188F5FCB"/>
    <w:rsid w:val="18D511AA"/>
    <w:rsid w:val="1A1850B4"/>
    <w:rsid w:val="1A571D9D"/>
    <w:rsid w:val="1A7D5B75"/>
    <w:rsid w:val="1ACA7B6A"/>
    <w:rsid w:val="1B2B737F"/>
    <w:rsid w:val="1B811858"/>
    <w:rsid w:val="1C271C45"/>
    <w:rsid w:val="1C55024B"/>
    <w:rsid w:val="1DB033C2"/>
    <w:rsid w:val="1DBB61DA"/>
    <w:rsid w:val="1EAE7A62"/>
    <w:rsid w:val="1F8A3B46"/>
    <w:rsid w:val="1FED7625"/>
    <w:rsid w:val="211753D6"/>
    <w:rsid w:val="224F6049"/>
    <w:rsid w:val="22E7655B"/>
    <w:rsid w:val="22F4099F"/>
    <w:rsid w:val="233D5EA2"/>
    <w:rsid w:val="246F29D3"/>
    <w:rsid w:val="24E25D13"/>
    <w:rsid w:val="25C40AFC"/>
    <w:rsid w:val="26DD1E76"/>
    <w:rsid w:val="27777B13"/>
    <w:rsid w:val="27B6069A"/>
    <w:rsid w:val="28905991"/>
    <w:rsid w:val="29327807"/>
    <w:rsid w:val="29872BC2"/>
    <w:rsid w:val="2A8A2314"/>
    <w:rsid w:val="2BE75544"/>
    <w:rsid w:val="2CB4503B"/>
    <w:rsid w:val="2D3D3502"/>
    <w:rsid w:val="2E450A4A"/>
    <w:rsid w:val="2E6313A3"/>
    <w:rsid w:val="2FC81F1E"/>
    <w:rsid w:val="32EB591A"/>
    <w:rsid w:val="3308562B"/>
    <w:rsid w:val="335D7539"/>
    <w:rsid w:val="33775031"/>
    <w:rsid w:val="33F50698"/>
    <w:rsid w:val="36A15482"/>
    <w:rsid w:val="373B04F2"/>
    <w:rsid w:val="3776777C"/>
    <w:rsid w:val="37A367C3"/>
    <w:rsid w:val="37B00763"/>
    <w:rsid w:val="38D14C14"/>
    <w:rsid w:val="38E84E6B"/>
    <w:rsid w:val="39A95BE7"/>
    <w:rsid w:val="3AAE6C10"/>
    <w:rsid w:val="3B79E89D"/>
    <w:rsid w:val="3C8C4F74"/>
    <w:rsid w:val="3D075C5F"/>
    <w:rsid w:val="3E74087E"/>
    <w:rsid w:val="3E8804C1"/>
    <w:rsid w:val="3F2D72BA"/>
    <w:rsid w:val="3FFB7936"/>
    <w:rsid w:val="40E90629"/>
    <w:rsid w:val="419D24D5"/>
    <w:rsid w:val="42BC2E2F"/>
    <w:rsid w:val="435C016E"/>
    <w:rsid w:val="437B6009"/>
    <w:rsid w:val="44EA211C"/>
    <w:rsid w:val="453A5F77"/>
    <w:rsid w:val="45605CF4"/>
    <w:rsid w:val="46641814"/>
    <w:rsid w:val="46980B8A"/>
    <w:rsid w:val="46C8698B"/>
    <w:rsid w:val="47065579"/>
    <w:rsid w:val="484E4529"/>
    <w:rsid w:val="49831FB1"/>
    <w:rsid w:val="49973EA5"/>
    <w:rsid w:val="4AE44CD1"/>
    <w:rsid w:val="4CE92A73"/>
    <w:rsid w:val="4EC31481"/>
    <w:rsid w:val="4F367FA9"/>
    <w:rsid w:val="4FB3B218"/>
    <w:rsid w:val="50576B60"/>
    <w:rsid w:val="50C874A7"/>
    <w:rsid w:val="51782617"/>
    <w:rsid w:val="51BA37D1"/>
    <w:rsid w:val="5611203E"/>
    <w:rsid w:val="57261A4D"/>
    <w:rsid w:val="578F1258"/>
    <w:rsid w:val="57E84249"/>
    <w:rsid w:val="57EDC438"/>
    <w:rsid w:val="58B24108"/>
    <w:rsid w:val="59426FFC"/>
    <w:rsid w:val="597B6C47"/>
    <w:rsid w:val="5A18753D"/>
    <w:rsid w:val="5A2E5F69"/>
    <w:rsid w:val="5B7104A5"/>
    <w:rsid w:val="5BDF27A7"/>
    <w:rsid w:val="5D4D19CD"/>
    <w:rsid w:val="5E655CD1"/>
    <w:rsid w:val="5F445FC4"/>
    <w:rsid w:val="5F4B66A7"/>
    <w:rsid w:val="5F4F36D8"/>
    <w:rsid w:val="5FFF3702"/>
    <w:rsid w:val="61135EB8"/>
    <w:rsid w:val="61CB4DFE"/>
    <w:rsid w:val="61E94A13"/>
    <w:rsid w:val="626325F8"/>
    <w:rsid w:val="633E6D8F"/>
    <w:rsid w:val="63BF40D6"/>
    <w:rsid w:val="64986E00"/>
    <w:rsid w:val="64CE7FE0"/>
    <w:rsid w:val="6510436C"/>
    <w:rsid w:val="65D844ED"/>
    <w:rsid w:val="66276D68"/>
    <w:rsid w:val="670E33AA"/>
    <w:rsid w:val="67310398"/>
    <w:rsid w:val="674A015A"/>
    <w:rsid w:val="67C63178"/>
    <w:rsid w:val="67FF3920"/>
    <w:rsid w:val="68172B10"/>
    <w:rsid w:val="68375408"/>
    <w:rsid w:val="685272B7"/>
    <w:rsid w:val="695803CB"/>
    <w:rsid w:val="69B45B6F"/>
    <w:rsid w:val="6A611A43"/>
    <w:rsid w:val="6A961645"/>
    <w:rsid w:val="6A9C2041"/>
    <w:rsid w:val="6B403D4E"/>
    <w:rsid w:val="6BAFC694"/>
    <w:rsid w:val="6BF610FB"/>
    <w:rsid w:val="6BFAE664"/>
    <w:rsid w:val="6BFF1945"/>
    <w:rsid w:val="6C042DA3"/>
    <w:rsid w:val="6CCFACCB"/>
    <w:rsid w:val="6CFFEA9B"/>
    <w:rsid w:val="6DA4107B"/>
    <w:rsid w:val="6DBC22BD"/>
    <w:rsid w:val="6DCE14CD"/>
    <w:rsid w:val="6DEE7A91"/>
    <w:rsid w:val="6F95A659"/>
    <w:rsid w:val="6FA80114"/>
    <w:rsid w:val="6FFDF5BF"/>
    <w:rsid w:val="701A1130"/>
    <w:rsid w:val="70D10B98"/>
    <w:rsid w:val="71A27AA8"/>
    <w:rsid w:val="71B903B6"/>
    <w:rsid w:val="71DF64CF"/>
    <w:rsid w:val="734E15BF"/>
    <w:rsid w:val="73CE3A3C"/>
    <w:rsid w:val="73DD1D77"/>
    <w:rsid w:val="73E45458"/>
    <w:rsid w:val="745B46A5"/>
    <w:rsid w:val="75D6D538"/>
    <w:rsid w:val="76595CC4"/>
    <w:rsid w:val="779BF3B9"/>
    <w:rsid w:val="77BD2D08"/>
    <w:rsid w:val="79C93AD3"/>
    <w:rsid w:val="7AA1632E"/>
    <w:rsid w:val="7B1072F5"/>
    <w:rsid w:val="7B5E3462"/>
    <w:rsid w:val="7BDFF4BF"/>
    <w:rsid w:val="7CC954EE"/>
    <w:rsid w:val="7D790DF2"/>
    <w:rsid w:val="7D8E34D5"/>
    <w:rsid w:val="7DFB5BF5"/>
    <w:rsid w:val="7E7F08CB"/>
    <w:rsid w:val="7FAFD193"/>
    <w:rsid w:val="7FDE4242"/>
    <w:rsid w:val="7FF9E567"/>
    <w:rsid w:val="8FF5ADF3"/>
    <w:rsid w:val="9BFFD15D"/>
    <w:rsid w:val="9FFF6040"/>
    <w:rsid w:val="A6FF6566"/>
    <w:rsid w:val="B6AFB0C8"/>
    <w:rsid w:val="B7AE50E3"/>
    <w:rsid w:val="B7FAF496"/>
    <w:rsid w:val="BFF7D460"/>
    <w:rsid w:val="CEA349EA"/>
    <w:rsid w:val="CEF3515C"/>
    <w:rsid w:val="CFFBE5E9"/>
    <w:rsid w:val="D7FC7F62"/>
    <w:rsid w:val="D9D1669C"/>
    <w:rsid w:val="DBB9C2EF"/>
    <w:rsid w:val="DBCF7445"/>
    <w:rsid w:val="DBF92D18"/>
    <w:rsid w:val="DEEE5B92"/>
    <w:rsid w:val="DFB7A142"/>
    <w:rsid w:val="DFDE5A30"/>
    <w:rsid w:val="DFFF0BA4"/>
    <w:rsid w:val="E5DED8C0"/>
    <w:rsid w:val="EF7D993C"/>
    <w:rsid w:val="EFD3E7CC"/>
    <w:rsid w:val="EFEA39F9"/>
    <w:rsid w:val="EFF77D9E"/>
    <w:rsid w:val="EFF7B7F2"/>
    <w:rsid w:val="F323F479"/>
    <w:rsid w:val="F37FCDA4"/>
    <w:rsid w:val="F5FA60CA"/>
    <w:rsid w:val="F7F7084E"/>
    <w:rsid w:val="FBAE5B1F"/>
    <w:rsid w:val="FCDF5D95"/>
    <w:rsid w:val="FDDF789E"/>
    <w:rsid w:val="FDFCB1A1"/>
    <w:rsid w:val="FE7890EA"/>
    <w:rsid w:val="FEF654A9"/>
    <w:rsid w:val="FF35993D"/>
    <w:rsid w:val="FF5A2658"/>
    <w:rsid w:val="FFACFFA6"/>
    <w:rsid w:val="FFD8BF03"/>
    <w:rsid w:val="FFDB1162"/>
    <w:rsid w:val="FFEBDC9A"/>
    <w:rsid w:val="FFFB233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6"/>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0"/>
    <w:pPr>
      <w:keepNext/>
      <w:keepLines/>
      <w:spacing w:before="260" w:after="260" w:line="416" w:lineRule="auto"/>
      <w:outlineLvl w:val="1"/>
    </w:pPr>
    <w:rPr>
      <w:rFonts w:ascii="Cambria" w:hAnsi="Cambria" w:eastAsia="楷体_GB2312"/>
      <w:b/>
      <w:bCs/>
      <w:sz w:val="32"/>
      <w:szCs w:val="32"/>
    </w:rPr>
  </w:style>
  <w:style w:type="paragraph" w:styleId="4">
    <w:name w:val="heading 3"/>
    <w:basedOn w:val="1"/>
    <w:next w:val="1"/>
    <w:link w:val="25"/>
    <w:qFormat/>
    <w:uiPriority w:val="0"/>
    <w:pPr>
      <w:keepNext/>
      <w:keepLines/>
      <w:spacing w:before="260" w:after="260" w:line="413" w:lineRule="auto"/>
      <w:outlineLvl w:val="2"/>
    </w:pPr>
    <w:rPr>
      <w:rFonts w:ascii="Calibri" w:hAnsi="Calibri" w:eastAsia="楷体_GB2312"/>
      <w:b/>
      <w:sz w:val="32"/>
    </w:rPr>
  </w:style>
  <w:style w:type="paragraph" w:styleId="5">
    <w:name w:val="heading 4"/>
    <w:basedOn w:val="1"/>
    <w:next w:val="6"/>
    <w:unhideWhenUsed/>
    <w:qFormat/>
    <w:uiPriority w:val="9"/>
    <w:pPr>
      <w:keepNext/>
      <w:keepLines/>
      <w:numPr>
        <w:ilvl w:val="3"/>
        <w:numId w:val="0"/>
      </w:numPr>
      <w:tabs>
        <w:tab w:val="left" w:pos="0"/>
      </w:tabs>
      <w:spacing w:before="200" w:after="0"/>
      <w:ind w:firstLine="402"/>
      <w:outlineLvl w:val="3"/>
    </w:pPr>
    <w:rPr>
      <w:rFonts w:ascii="微软雅黑" w:hAnsi="微软雅黑" w:eastAsia="微软雅黑" w:cstheme="majorBidi"/>
      <w:bCs/>
      <w:i/>
      <w:color w:val="auto"/>
    </w:rPr>
  </w:style>
  <w:style w:type="paragraph" w:styleId="7">
    <w:name w:val="heading 5"/>
    <w:basedOn w:val="1"/>
    <w:next w:val="1"/>
    <w:link w:val="37"/>
    <w:semiHidden/>
    <w:unhideWhenUsed/>
    <w:qFormat/>
    <w:uiPriority w:val="0"/>
    <w:pPr>
      <w:keepNext/>
      <w:keepLines/>
      <w:spacing w:before="280" w:beforeLines="0" w:beforeAutospacing="0" w:after="290" w:afterLines="0" w:afterAutospacing="0" w:line="372" w:lineRule="auto"/>
      <w:outlineLvl w:val="4"/>
    </w:pPr>
    <w:rPr>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Body Text"/>
    <w:basedOn w:val="1"/>
    <w:qFormat/>
    <w:uiPriority w:val="0"/>
    <w:pPr>
      <w:widowControl/>
      <w:ind w:firstLine="723" w:firstLineChars="200"/>
    </w:pPr>
    <w:rPr>
      <w:rFonts w:ascii="Times New Roman" w:hAnsi="Times New Roman" w:eastAsia="仿宋_GB2312"/>
      <w:sz w:val="28"/>
      <w:szCs w:val="24"/>
    </w:rPr>
  </w:style>
  <w:style w:type="paragraph" w:styleId="8">
    <w:name w:val="index 5"/>
    <w:basedOn w:val="1"/>
    <w:next w:val="1"/>
    <w:qFormat/>
    <w:uiPriority w:val="0"/>
    <w:pPr>
      <w:ind w:left="1680"/>
    </w:pPr>
  </w:style>
  <w:style w:type="paragraph" w:styleId="9">
    <w:name w:val="annotation text"/>
    <w:basedOn w:val="1"/>
    <w:qFormat/>
    <w:uiPriority w:val="0"/>
    <w:pPr>
      <w:jc w:val="left"/>
    </w:pPr>
  </w:style>
  <w:style w:type="paragraph" w:styleId="10">
    <w:name w:val="toc 3"/>
    <w:basedOn w:val="1"/>
    <w:next w:val="1"/>
    <w:qFormat/>
    <w:uiPriority w:val="0"/>
    <w:pPr>
      <w:ind w:left="840" w:leftChars="400"/>
    </w:pPr>
  </w:style>
  <w:style w:type="paragraph" w:styleId="11">
    <w:name w:val="Balloon Text"/>
    <w:basedOn w:val="1"/>
    <w:next w:val="8"/>
    <w:qFormat/>
    <w:uiPriority w:val="0"/>
    <w:rPr>
      <w:sz w:val="18"/>
      <w:szCs w:val="18"/>
    </w:rPr>
  </w:style>
  <w:style w:type="paragraph" w:styleId="12">
    <w:name w:val="footer"/>
    <w:basedOn w:val="1"/>
    <w:qFormat/>
    <w:uiPriority w:val="0"/>
    <w:pPr>
      <w:widowControl w:val="0"/>
      <w:tabs>
        <w:tab w:val="center" w:pos="4153"/>
        <w:tab w:val="right" w:pos="8306"/>
      </w:tabs>
      <w:snapToGrid w:val="0"/>
    </w:pPr>
    <w:rPr>
      <w:rFonts w:ascii="Times New Roman" w:hAnsi="Times New Roman" w:eastAsia="宋体" w:cs="Times New Roman"/>
      <w:kern w:val="2"/>
      <w:sz w:val="18"/>
      <w:szCs w:val="24"/>
      <w:lang w:val="en-US" w:eastAsia="zh-CN" w:bidi="ar-SA"/>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toc 1"/>
    <w:basedOn w:val="1"/>
    <w:next w:val="1"/>
    <w:qFormat/>
    <w:uiPriority w:val="0"/>
    <w:pPr>
      <w:spacing w:line="520" w:lineRule="exact"/>
    </w:pPr>
    <w:rPr>
      <w:rFonts w:eastAsia="黑体" w:cs="Calibri"/>
      <w:b/>
      <w:bCs/>
      <w:caps/>
      <w:szCs w:val="20"/>
    </w:rPr>
  </w:style>
  <w:style w:type="paragraph" w:styleId="15">
    <w:name w:val="table of figures"/>
    <w:basedOn w:val="1"/>
    <w:next w:val="1"/>
    <w:qFormat/>
    <w:uiPriority w:val="0"/>
    <w:pPr>
      <w:ind w:leftChars="200" w:hanging="200" w:hangingChars="200"/>
    </w:pPr>
  </w:style>
  <w:style w:type="paragraph" w:styleId="16">
    <w:name w:val="toc 2"/>
    <w:basedOn w:val="1"/>
    <w:next w:val="1"/>
    <w:qFormat/>
    <w:uiPriority w:val="39"/>
    <w:pPr>
      <w:ind w:left="420" w:leftChars="200"/>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8">
    <w:name w:val="Body Text First Indent"/>
    <w:basedOn w:val="6"/>
    <w:unhideWhenUsed/>
    <w:qFormat/>
    <w:uiPriority w:val="99"/>
    <w:pPr>
      <w:ind w:firstLine="0" w:firstLineChars="0"/>
      <w:jc w:val="center"/>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bCs/>
    </w:rPr>
  </w:style>
  <w:style w:type="character" w:styleId="23">
    <w:name w:val="Hyperlink"/>
    <w:basedOn w:val="21"/>
    <w:qFormat/>
    <w:uiPriority w:val="0"/>
    <w:rPr>
      <w:color w:val="0000FF"/>
      <w:u w:val="single"/>
    </w:rPr>
  </w:style>
  <w:style w:type="paragraph" w:customStyle="1" w:styleId="24">
    <w:name w:val="图"/>
    <w:basedOn w:val="1"/>
    <w:link w:val="40"/>
    <w:qFormat/>
    <w:uiPriority w:val="0"/>
    <w:pPr>
      <w:jc w:val="center"/>
    </w:pPr>
    <w:rPr>
      <w:rFonts w:hint="eastAsia" w:ascii="仿宋_GB2312" w:hAnsi="仿宋_GB2312" w:eastAsia="仿宋" w:cs="仿宋_GB2312"/>
      <w:b/>
      <w:sz w:val="24"/>
      <w:szCs w:val="28"/>
    </w:rPr>
  </w:style>
  <w:style w:type="character" w:customStyle="1" w:styleId="25">
    <w:name w:val="标题 3 Char"/>
    <w:link w:val="4"/>
    <w:qFormat/>
    <w:uiPriority w:val="0"/>
    <w:rPr>
      <w:rFonts w:ascii="Calibri" w:hAnsi="Calibri" w:eastAsia="楷体_GB2312"/>
      <w:b/>
      <w:sz w:val="32"/>
    </w:rPr>
  </w:style>
  <w:style w:type="table" w:customStyle="1" w:styleId="26">
    <w:name w:val="网格型1"/>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7">
    <w:name w:val="案例"/>
    <w:basedOn w:val="28"/>
    <w:qFormat/>
    <w:uiPriority w:val="0"/>
    <w:pPr>
      <w:jc w:val="left"/>
    </w:pPr>
    <w:rPr>
      <w:rFonts w:hint="eastAsia" w:ascii="Cambria" w:hAnsi="Cambria" w:eastAsia="黑体"/>
      <w:b/>
      <w:sz w:val="32"/>
      <w:szCs w:val="20"/>
    </w:rPr>
  </w:style>
  <w:style w:type="paragraph" w:customStyle="1" w:styleId="28">
    <w:name w:val="数据分析图"/>
    <w:basedOn w:val="29"/>
    <w:qFormat/>
    <w:uiPriority w:val="0"/>
  </w:style>
  <w:style w:type="paragraph" w:customStyle="1" w:styleId="29">
    <w:name w:val="图目录"/>
    <w:basedOn w:val="1"/>
    <w:qFormat/>
    <w:uiPriority w:val="0"/>
    <w:pPr>
      <w:widowControl w:val="0"/>
      <w:adjustRightInd/>
      <w:snapToGrid/>
      <w:spacing w:after="0" w:line="480" w:lineRule="exact"/>
      <w:jc w:val="center"/>
      <w:outlineLvl w:val="0"/>
    </w:pPr>
    <w:rPr>
      <w:rFonts w:ascii="楷体" w:hAnsi="楷体" w:eastAsia="楷体" w:cs="楷体"/>
      <w:color w:val="000000"/>
      <w:kern w:val="2"/>
      <w:sz w:val="21"/>
      <w:szCs w:val="21"/>
    </w:rPr>
  </w:style>
  <w:style w:type="character" w:customStyle="1" w:styleId="30">
    <w:name w:val="NormalCharacter"/>
    <w:semiHidden/>
    <w:qFormat/>
    <w:uiPriority w:val="0"/>
  </w:style>
  <w:style w:type="paragraph" w:customStyle="1" w:styleId="31">
    <w:name w:val="表格格式"/>
    <w:basedOn w:val="1"/>
    <w:qFormat/>
    <w:uiPriority w:val="0"/>
    <w:pPr>
      <w:spacing w:line="300" w:lineRule="exact"/>
      <w:ind w:firstLine="0" w:firstLineChars="0"/>
      <w:jc w:val="center"/>
    </w:pPr>
    <w:rPr>
      <w:rFonts w:ascii="宋体" w:hAnsi="宋体"/>
      <w:color w:val="000000"/>
      <w:kern w:val="0"/>
      <w:sz w:val="24"/>
    </w:rPr>
  </w:style>
  <w:style w:type="paragraph" w:customStyle="1" w:styleId="32">
    <w:name w:val="普通(网站)1"/>
    <w:basedOn w:val="1"/>
    <w:qFormat/>
    <w:uiPriority w:val="0"/>
    <w:pPr>
      <w:spacing w:before="100" w:beforeAutospacing="1" w:after="100" w:afterAutospacing="1"/>
    </w:pPr>
  </w:style>
  <w:style w:type="character" w:customStyle="1" w:styleId="33">
    <w:name w:val="font21"/>
    <w:basedOn w:val="21"/>
    <w:qFormat/>
    <w:uiPriority w:val="0"/>
    <w:rPr>
      <w:rFonts w:hint="eastAsia" w:ascii="宋体" w:hAnsi="宋体" w:eastAsia="宋体" w:cs="宋体"/>
      <w:b/>
      <w:bCs/>
      <w:color w:val="000000"/>
      <w:sz w:val="20"/>
      <w:szCs w:val="20"/>
      <w:u w:val="none"/>
    </w:rPr>
  </w:style>
  <w:style w:type="character" w:customStyle="1" w:styleId="34">
    <w:name w:val="font31"/>
    <w:basedOn w:val="21"/>
    <w:qFormat/>
    <w:uiPriority w:val="0"/>
    <w:rPr>
      <w:rFonts w:ascii="仿宋_GB2312" w:eastAsia="仿宋_GB2312" w:cs="仿宋_GB2312"/>
      <w:color w:val="000000"/>
      <w:sz w:val="24"/>
      <w:szCs w:val="24"/>
      <w:u w:val="none"/>
    </w:rPr>
  </w:style>
  <w:style w:type="character" w:customStyle="1" w:styleId="35">
    <w:name w:val="font41"/>
    <w:basedOn w:val="21"/>
    <w:qFormat/>
    <w:uiPriority w:val="0"/>
    <w:rPr>
      <w:rFonts w:hint="eastAsia" w:ascii="仿宋_GB2312" w:eastAsia="仿宋_GB2312" w:cs="仿宋_GB2312"/>
      <w:b/>
      <w:bCs/>
      <w:color w:val="000000"/>
      <w:sz w:val="20"/>
      <w:szCs w:val="20"/>
      <w:u w:val="none"/>
    </w:rPr>
  </w:style>
  <w:style w:type="character" w:customStyle="1" w:styleId="36">
    <w:name w:val="标题 1 Char"/>
    <w:link w:val="2"/>
    <w:qFormat/>
    <w:uiPriority w:val="0"/>
    <w:rPr>
      <w:b/>
      <w:kern w:val="44"/>
      <w:sz w:val="44"/>
    </w:rPr>
  </w:style>
  <w:style w:type="character" w:customStyle="1" w:styleId="37">
    <w:name w:val="标题 5 Char"/>
    <w:link w:val="7"/>
    <w:qFormat/>
    <w:uiPriority w:val="0"/>
    <w:rPr>
      <w:b/>
      <w:sz w:val="28"/>
    </w:rPr>
  </w:style>
  <w:style w:type="paragraph" w:styleId="38">
    <w:name w:val="List Paragraph"/>
    <w:basedOn w:val="1"/>
    <w:qFormat/>
    <w:uiPriority w:val="34"/>
    <w:pPr>
      <w:ind w:firstLine="420" w:firstLineChars="200"/>
    </w:pPr>
  </w:style>
  <w:style w:type="paragraph" w:customStyle="1" w:styleId="39">
    <w:name w:val="表"/>
    <w:basedOn w:val="1"/>
    <w:qFormat/>
    <w:uiPriority w:val="0"/>
    <w:pPr>
      <w:tabs>
        <w:tab w:val="left" w:pos="958"/>
        <w:tab w:val="left" w:pos="1078"/>
      </w:tabs>
      <w:spacing w:line="560" w:lineRule="exact"/>
      <w:jc w:val="center"/>
      <w:outlineLvl w:val="9"/>
    </w:pPr>
    <w:rPr>
      <w:rFonts w:ascii="仿宋" w:hAnsi="仿宋" w:eastAsia="黑体"/>
      <w:b/>
      <w:bCs/>
      <w:color w:val="000000" w:themeColor="text1"/>
      <w:sz w:val="24"/>
      <w14:textFill>
        <w14:solidFill>
          <w14:schemeClr w14:val="tx1"/>
        </w14:solidFill>
      </w14:textFill>
    </w:rPr>
  </w:style>
  <w:style w:type="character" w:customStyle="1" w:styleId="40">
    <w:name w:val="图 Char"/>
    <w:link w:val="24"/>
    <w:qFormat/>
    <w:uiPriority w:val="0"/>
    <w:rPr>
      <w:rFonts w:hint="eastAsia" w:ascii="仿宋_GB2312" w:hAnsi="仿宋_GB2312" w:eastAsia="仿宋" w:cs="仿宋_GB2312"/>
      <w:b/>
      <w:sz w:val="24"/>
      <w:szCs w:val="28"/>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numbering" Target="numbering.xml"/><Relationship Id="rId90" Type="http://schemas.openxmlformats.org/officeDocument/2006/relationships/customXml" Target="../customXml/item1.xml"/><Relationship Id="rId9" Type="http://schemas.openxmlformats.org/officeDocument/2006/relationships/image" Target="media/image5.jpeg"/><Relationship Id="rId89" Type="http://schemas.openxmlformats.org/officeDocument/2006/relationships/image" Target="media/image85.jpeg"/><Relationship Id="rId88" Type="http://schemas.openxmlformats.org/officeDocument/2006/relationships/image" Target="media/image84.jpeg"/><Relationship Id="rId87" Type="http://schemas.openxmlformats.org/officeDocument/2006/relationships/image" Target="media/image83.jpeg"/><Relationship Id="rId86" Type="http://schemas.openxmlformats.org/officeDocument/2006/relationships/image" Target="media/image82.jpeg"/><Relationship Id="rId85" Type="http://schemas.openxmlformats.org/officeDocument/2006/relationships/image" Target="media/image81.jpeg"/><Relationship Id="rId84" Type="http://schemas.openxmlformats.org/officeDocument/2006/relationships/image" Target="media/image80.jpeg"/><Relationship Id="rId83" Type="http://schemas.openxmlformats.org/officeDocument/2006/relationships/image" Target="media/image79.jpeg"/><Relationship Id="rId82" Type="http://schemas.openxmlformats.org/officeDocument/2006/relationships/image" Target="media/image78.jpeg"/><Relationship Id="rId81" Type="http://schemas.openxmlformats.org/officeDocument/2006/relationships/image" Target="media/image77.jpeg"/><Relationship Id="rId80" Type="http://schemas.openxmlformats.org/officeDocument/2006/relationships/image" Target="media/image76.jpeg"/><Relationship Id="rId8" Type="http://schemas.openxmlformats.org/officeDocument/2006/relationships/image" Target="media/image4.jpeg"/><Relationship Id="rId79" Type="http://schemas.openxmlformats.org/officeDocument/2006/relationships/image" Target="media/image75.jpeg"/><Relationship Id="rId78" Type="http://schemas.openxmlformats.org/officeDocument/2006/relationships/image" Target="media/image74.jpeg"/><Relationship Id="rId77" Type="http://schemas.openxmlformats.org/officeDocument/2006/relationships/image" Target="media/image73.jpeg"/><Relationship Id="rId76" Type="http://schemas.openxmlformats.org/officeDocument/2006/relationships/image" Target="media/image72.jpeg"/><Relationship Id="rId75" Type="http://schemas.openxmlformats.org/officeDocument/2006/relationships/image" Target="media/image71.jpeg"/><Relationship Id="rId74" Type="http://schemas.openxmlformats.org/officeDocument/2006/relationships/image" Target="media/image70.jpeg"/><Relationship Id="rId73" Type="http://schemas.openxmlformats.org/officeDocument/2006/relationships/image" Target="media/image69.jpeg"/><Relationship Id="rId72" Type="http://schemas.openxmlformats.org/officeDocument/2006/relationships/image" Target="media/image68.jpeg"/><Relationship Id="rId71" Type="http://schemas.openxmlformats.org/officeDocument/2006/relationships/image" Target="media/image67.jpeg"/><Relationship Id="rId70" Type="http://schemas.openxmlformats.org/officeDocument/2006/relationships/image" Target="media/image66.jpeg"/><Relationship Id="rId7" Type="http://schemas.openxmlformats.org/officeDocument/2006/relationships/image" Target="media/image3.jpeg"/><Relationship Id="rId69" Type="http://schemas.openxmlformats.org/officeDocument/2006/relationships/image" Target="media/image65.jpeg"/><Relationship Id="rId68" Type="http://schemas.openxmlformats.org/officeDocument/2006/relationships/image" Target="media/image64.jpeg"/><Relationship Id="rId67" Type="http://schemas.openxmlformats.org/officeDocument/2006/relationships/image" Target="media/image63.jpeg"/><Relationship Id="rId66" Type="http://schemas.openxmlformats.org/officeDocument/2006/relationships/image" Target="media/image62.png"/><Relationship Id="rId65" Type="http://schemas.openxmlformats.org/officeDocument/2006/relationships/image" Target="media/image61.jpeg"/><Relationship Id="rId64" Type="http://schemas.openxmlformats.org/officeDocument/2006/relationships/image" Target="media/image60.jpeg"/><Relationship Id="rId63" Type="http://schemas.openxmlformats.org/officeDocument/2006/relationships/image" Target="media/image59.jpeg"/><Relationship Id="rId62" Type="http://schemas.openxmlformats.org/officeDocument/2006/relationships/image" Target="media/image58.jpeg"/><Relationship Id="rId61" Type="http://schemas.openxmlformats.org/officeDocument/2006/relationships/image" Target="media/image57.jpeg"/><Relationship Id="rId60" Type="http://schemas.openxmlformats.org/officeDocument/2006/relationships/image" Target="media/image56.jpeg"/><Relationship Id="rId6" Type="http://schemas.openxmlformats.org/officeDocument/2006/relationships/image" Target="media/image2.png"/><Relationship Id="rId59" Type="http://schemas.openxmlformats.org/officeDocument/2006/relationships/image" Target="media/image55.jpeg"/><Relationship Id="rId58" Type="http://schemas.openxmlformats.org/officeDocument/2006/relationships/image" Target="media/image54.jpeg"/><Relationship Id="rId57" Type="http://schemas.openxmlformats.org/officeDocument/2006/relationships/image" Target="media/image53.jpeg"/><Relationship Id="rId56" Type="http://schemas.openxmlformats.org/officeDocument/2006/relationships/image" Target="media/image52.jpeg"/><Relationship Id="rId55" Type="http://schemas.openxmlformats.org/officeDocument/2006/relationships/image" Target="media/image51.jpeg"/><Relationship Id="rId54" Type="http://schemas.openxmlformats.org/officeDocument/2006/relationships/image" Target="media/image50.jpeg"/><Relationship Id="rId53" Type="http://schemas.openxmlformats.org/officeDocument/2006/relationships/image" Target="media/image49.jpeg"/><Relationship Id="rId52" Type="http://schemas.openxmlformats.org/officeDocument/2006/relationships/image" Target="media/image48.jpeg"/><Relationship Id="rId51" Type="http://schemas.openxmlformats.org/officeDocument/2006/relationships/image" Target="media/image47.jpeg"/><Relationship Id="rId50" Type="http://schemas.openxmlformats.org/officeDocument/2006/relationships/image" Target="media/image46.jpeg"/><Relationship Id="rId5" Type="http://schemas.openxmlformats.org/officeDocument/2006/relationships/theme" Target="theme/theme1.xml"/><Relationship Id="rId49" Type="http://schemas.openxmlformats.org/officeDocument/2006/relationships/image" Target="media/image45.jpeg"/><Relationship Id="rId48" Type="http://schemas.openxmlformats.org/officeDocument/2006/relationships/image" Target="media/image44.jpeg"/><Relationship Id="rId47" Type="http://schemas.openxmlformats.org/officeDocument/2006/relationships/image" Target="media/image43.png"/><Relationship Id="rId46" Type="http://schemas.openxmlformats.org/officeDocument/2006/relationships/image" Target="media/image42.jpe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jpeg"/><Relationship Id="rId42" Type="http://schemas.openxmlformats.org/officeDocument/2006/relationships/image" Target="media/image38.jpeg"/><Relationship Id="rId41" Type="http://schemas.openxmlformats.org/officeDocument/2006/relationships/image" Target="media/image37.jpeg"/><Relationship Id="rId40" Type="http://schemas.openxmlformats.org/officeDocument/2006/relationships/image" Target="media/image36.png"/><Relationship Id="rId4" Type="http://schemas.openxmlformats.org/officeDocument/2006/relationships/footer" Target="footer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png"/><Relationship Id="rId34" Type="http://schemas.openxmlformats.org/officeDocument/2006/relationships/image" Target="media/image30.jpeg"/><Relationship Id="rId33" Type="http://schemas.openxmlformats.org/officeDocument/2006/relationships/image" Target="media/image29.jpeg"/><Relationship Id="rId32" Type="http://schemas.openxmlformats.org/officeDocument/2006/relationships/image" Target="media/image28.jpe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header" Target="head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jpe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96</Pages>
  <Words>1500</Words>
  <Characters>1822</Characters>
  <Lines>15</Lines>
  <Paragraphs>4</Paragraphs>
  <TotalTime>30</TotalTime>
  <ScaleCrop>false</ScaleCrop>
  <LinksUpToDate>false</LinksUpToDate>
  <CharactersWithSpaces>1975</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2023-12-06T18:40:00Z</dcterms:created>
  <dc:creator>雨落江南</dc:creator>
  <cp:lastModifiedBy>林秀英</cp:lastModifiedBy>
  <cp:lastPrinted>2024-11-05T07:36:00Z</cp:lastPrinted>
  <dcterms:modified xsi:type="dcterms:W3CDTF">2025-12-22T02:21:28Z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70ACD1D00C484879857F24535111B0CF_13</vt:lpwstr>
  </property>
  <property fmtid="{D5CDD505-2E9C-101B-9397-08002B2CF9AE}" pid="4" name="KSOTemplateDocerSaveRecord">
    <vt:lpwstr>eyJoZGlkIjoiODQ0NGZjYTU0ZDA2MjJjNWI4YTNiNzYzYzBkNjdhNjMiLCJ1c2VySWQiOiIxNzgyMDY2MTcwIn0=</vt:lpwstr>
  </property>
</Properties>
</file>